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1E0E" w:rsidRPr="00EC0AFF" w:rsidRDefault="00EC0AFF">
      <w:pPr>
        <w:pStyle w:val="T68H1"/>
        <w:jc w:val="center"/>
        <w:rPr>
          <w:sz w:val="22"/>
          <w:lang w:val="es-ES"/>
        </w:rPr>
      </w:pPr>
      <w:bookmarkStart w:id="0" w:name="_GoBack"/>
      <w:r w:rsidRPr="00EC0AFF">
        <w:rPr>
          <w:sz w:val="22"/>
          <w:lang w:val="es-ES"/>
        </w:rPr>
        <w:t>TEMA 68: EL INTERCAMBIO ELECTRÓNICO DE DATOS</w:t>
      </w:r>
    </w:p>
    <w:bookmarkEnd w:id="0"/>
    <w:p w:rsidR="00161E0E" w:rsidRDefault="00EC0AFF">
      <w:pPr>
        <w:pStyle w:val="T68Body"/>
        <w:jc w:val="center"/>
        <w:rPr>
          <w:b/>
          <w:sz w:val="22"/>
          <w:lang w:val="es-ES"/>
        </w:rPr>
      </w:pPr>
      <w:r w:rsidRPr="00EC0AFF">
        <w:rPr>
          <w:b/>
          <w:sz w:val="22"/>
          <w:lang w:val="es-ES"/>
        </w:rPr>
        <w:t>Concepto. Tecnologías. Normas y estándares: EDI, XML, etc. Supresión de certificados en soporte papel. Iniciativas en la Junta de Andalucía y el Servicio Andaluz de Salud para el intercambio de datos entre administraciones. Otros proyectos nacionales y europeos.</w:t>
      </w:r>
    </w:p>
    <w:sdt>
      <w:sdtPr>
        <w:rPr>
          <w:lang w:val="es-ES"/>
        </w:rPr>
        <w:id w:val="440110312"/>
        <w:docPartObj>
          <w:docPartGallery w:val="Table of Contents"/>
          <w:docPartUnique/>
        </w:docPartObj>
      </w:sdtPr>
      <w:sdtEndPr>
        <w:rPr>
          <w:rFonts w:ascii="Trebuchet MS" w:eastAsia="Trebuchet MS" w:hAnsi="Trebuchet MS" w:cstheme="minorBidi"/>
          <w:noProof/>
          <w:color w:val="auto"/>
          <w:sz w:val="20"/>
          <w:szCs w:val="22"/>
          <w:lang w:val="en-US"/>
        </w:rPr>
      </w:sdtEndPr>
      <w:sdtContent>
        <w:p w:rsidR="00EC0AFF" w:rsidRDefault="00EC0AFF">
          <w:pPr>
            <w:pStyle w:val="TtuloTDC"/>
          </w:pPr>
          <w:r>
            <w:rPr>
              <w:lang w:val="es-ES"/>
            </w:rPr>
            <w:t>Tabla de contenido</w:t>
          </w:r>
        </w:p>
        <w:p w:rsidR="00EC0AFF" w:rsidRDefault="00EC0AFF">
          <w:pPr>
            <w:pStyle w:val="TDC1"/>
            <w:tabs>
              <w:tab w:val="right" w:leader="dot" w:pos="9792"/>
            </w:tabs>
            <w:rPr>
              <w:rFonts w:asciiTheme="minorHAnsi" w:eastAsiaTheme="minorEastAsia" w:hAnsiTheme="minorHAnsi"/>
              <w:noProof/>
              <w:sz w:val="24"/>
              <w:szCs w:val="24"/>
              <w:lang w:val="es-ES" w:eastAsia="es-ES"/>
            </w:rPr>
          </w:pPr>
          <w:r>
            <w:fldChar w:fldCharType="begin"/>
          </w:r>
          <w:r>
            <w:instrText>TOC \o "1-3" \h \z \u</w:instrText>
          </w:r>
          <w:r>
            <w:fldChar w:fldCharType="separate"/>
          </w:r>
          <w:hyperlink w:anchor="_Toc240909665" w:history="1">
            <w:r w:rsidRPr="00335BDC">
              <w:rPr>
                <w:rStyle w:val="Hipervnculo"/>
                <w:noProof/>
                <w:lang w:val="es-ES"/>
              </w:rPr>
              <w:t>1. CONCEPTO DE INTERCAMBIO ELECTRÓNICO DE DATOS E INTEROPERABILIDAD</w:t>
            </w:r>
            <w:r>
              <w:rPr>
                <w:noProof/>
                <w:webHidden/>
              </w:rPr>
              <w:tab/>
            </w:r>
            <w:r>
              <w:rPr>
                <w:noProof/>
                <w:webHidden/>
              </w:rPr>
              <w:fldChar w:fldCharType="begin"/>
            </w:r>
            <w:r>
              <w:rPr>
                <w:noProof/>
                <w:webHidden/>
              </w:rPr>
              <w:instrText xml:space="preserve"> PAGEREF _Toc240909665 \h </w:instrText>
            </w:r>
            <w:r>
              <w:rPr>
                <w:noProof/>
                <w:webHidden/>
              </w:rPr>
            </w:r>
            <w:r>
              <w:rPr>
                <w:noProof/>
                <w:webHidden/>
              </w:rPr>
              <w:fldChar w:fldCharType="separate"/>
            </w:r>
            <w:r>
              <w:rPr>
                <w:noProof/>
                <w:webHidden/>
              </w:rPr>
              <w:t>2</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66" w:history="1">
            <w:r w:rsidRPr="00335BDC">
              <w:rPr>
                <w:rStyle w:val="Hipervnculo"/>
                <w:noProof/>
                <w:lang w:val="es-ES"/>
              </w:rPr>
              <w:t>2. EDI (ELECTRONIC DATA INTERCHANGE)</w:t>
            </w:r>
            <w:r>
              <w:rPr>
                <w:noProof/>
                <w:webHidden/>
              </w:rPr>
              <w:tab/>
            </w:r>
            <w:r>
              <w:rPr>
                <w:noProof/>
                <w:webHidden/>
              </w:rPr>
              <w:fldChar w:fldCharType="begin"/>
            </w:r>
            <w:r>
              <w:rPr>
                <w:noProof/>
                <w:webHidden/>
              </w:rPr>
              <w:instrText xml:space="preserve"> PAGEREF _Toc240909666 \h </w:instrText>
            </w:r>
            <w:r>
              <w:rPr>
                <w:noProof/>
                <w:webHidden/>
              </w:rPr>
            </w:r>
            <w:r>
              <w:rPr>
                <w:noProof/>
                <w:webHidden/>
              </w:rPr>
              <w:fldChar w:fldCharType="separate"/>
            </w:r>
            <w:r>
              <w:rPr>
                <w:noProof/>
                <w:webHidden/>
              </w:rPr>
              <w:t>3</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67" w:history="1">
            <w:r w:rsidRPr="00335BDC">
              <w:rPr>
                <w:rStyle w:val="Hipervnculo"/>
                <w:noProof/>
                <w:lang w:val="es-ES"/>
              </w:rPr>
              <w:t>3. NORMAS Y ESTÁNDARES EDI</w:t>
            </w:r>
            <w:r>
              <w:rPr>
                <w:noProof/>
                <w:webHidden/>
              </w:rPr>
              <w:tab/>
            </w:r>
            <w:r>
              <w:rPr>
                <w:noProof/>
                <w:webHidden/>
              </w:rPr>
              <w:fldChar w:fldCharType="begin"/>
            </w:r>
            <w:r>
              <w:rPr>
                <w:noProof/>
                <w:webHidden/>
              </w:rPr>
              <w:instrText xml:space="preserve"> PAGEREF _Toc240909667 \h </w:instrText>
            </w:r>
            <w:r>
              <w:rPr>
                <w:noProof/>
                <w:webHidden/>
              </w:rPr>
            </w:r>
            <w:r>
              <w:rPr>
                <w:noProof/>
                <w:webHidden/>
              </w:rPr>
              <w:fldChar w:fldCharType="separate"/>
            </w:r>
            <w:r>
              <w:rPr>
                <w:noProof/>
                <w:webHidden/>
              </w:rPr>
              <w:t>3</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68" w:history="1">
            <w:r w:rsidRPr="00335BDC">
              <w:rPr>
                <w:rStyle w:val="Hipervnculo"/>
                <w:noProof/>
                <w:lang w:val="es-ES"/>
              </w:rPr>
              <w:t>4. XML Y OTRAS TECNOLOGÍAS DE INTERCAMBIO</w:t>
            </w:r>
            <w:r>
              <w:rPr>
                <w:noProof/>
                <w:webHidden/>
              </w:rPr>
              <w:tab/>
            </w:r>
            <w:r>
              <w:rPr>
                <w:noProof/>
                <w:webHidden/>
              </w:rPr>
              <w:fldChar w:fldCharType="begin"/>
            </w:r>
            <w:r>
              <w:rPr>
                <w:noProof/>
                <w:webHidden/>
              </w:rPr>
              <w:instrText xml:space="preserve"> PAGEREF _Toc240909668 \h </w:instrText>
            </w:r>
            <w:r>
              <w:rPr>
                <w:noProof/>
                <w:webHidden/>
              </w:rPr>
            </w:r>
            <w:r>
              <w:rPr>
                <w:noProof/>
                <w:webHidden/>
              </w:rPr>
              <w:fldChar w:fldCharType="separate"/>
            </w:r>
            <w:r>
              <w:rPr>
                <w:noProof/>
                <w:webHidden/>
              </w:rPr>
              <w:t>4</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69" w:history="1">
            <w:r w:rsidRPr="00335BDC">
              <w:rPr>
                <w:rStyle w:val="Hipervnculo"/>
                <w:noProof/>
                <w:lang w:val="es-ES"/>
              </w:rPr>
              <w:t>5. INTEROPERABILIDAD Y ESTÁNDARES EN EL ÁMBITO SANITARIO</w:t>
            </w:r>
            <w:r>
              <w:rPr>
                <w:noProof/>
                <w:webHidden/>
              </w:rPr>
              <w:tab/>
            </w:r>
            <w:r>
              <w:rPr>
                <w:noProof/>
                <w:webHidden/>
              </w:rPr>
              <w:fldChar w:fldCharType="begin"/>
            </w:r>
            <w:r>
              <w:rPr>
                <w:noProof/>
                <w:webHidden/>
              </w:rPr>
              <w:instrText xml:space="preserve"> PAGEREF _Toc240909669 \h </w:instrText>
            </w:r>
            <w:r>
              <w:rPr>
                <w:noProof/>
                <w:webHidden/>
              </w:rPr>
            </w:r>
            <w:r>
              <w:rPr>
                <w:noProof/>
                <w:webHidden/>
              </w:rPr>
              <w:fldChar w:fldCharType="separate"/>
            </w:r>
            <w:r>
              <w:rPr>
                <w:noProof/>
                <w:webHidden/>
              </w:rPr>
              <w:t>5</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0" w:history="1">
            <w:r w:rsidRPr="00335BDC">
              <w:rPr>
                <w:rStyle w:val="Hipervnculo"/>
                <w:noProof/>
                <w:lang w:val="es-ES"/>
              </w:rPr>
              <w:t>6. SUPRESIÓN DE CERTIFICADOS EN SOPORTE PAPEL (SCSP)</w:t>
            </w:r>
            <w:r>
              <w:rPr>
                <w:noProof/>
                <w:webHidden/>
              </w:rPr>
              <w:tab/>
            </w:r>
            <w:r>
              <w:rPr>
                <w:noProof/>
                <w:webHidden/>
              </w:rPr>
              <w:fldChar w:fldCharType="begin"/>
            </w:r>
            <w:r>
              <w:rPr>
                <w:noProof/>
                <w:webHidden/>
              </w:rPr>
              <w:instrText xml:space="preserve"> PAGEREF _Toc240909670 \h </w:instrText>
            </w:r>
            <w:r>
              <w:rPr>
                <w:noProof/>
                <w:webHidden/>
              </w:rPr>
            </w:r>
            <w:r>
              <w:rPr>
                <w:noProof/>
                <w:webHidden/>
              </w:rPr>
              <w:fldChar w:fldCharType="separate"/>
            </w:r>
            <w:r>
              <w:rPr>
                <w:noProof/>
                <w:webHidden/>
              </w:rPr>
              <w:t>6</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1" w:history="1">
            <w:r w:rsidRPr="00335BDC">
              <w:rPr>
                <w:rStyle w:val="Hipervnculo"/>
                <w:noProof/>
                <w:lang w:val="es-ES"/>
              </w:rPr>
              <w:t>7. INICIATIVAS DE LA JUNTA DE ANDALUCÍA</w:t>
            </w:r>
            <w:r>
              <w:rPr>
                <w:noProof/>
                <w:webHidden/>
              </w:rPr>
              <w:tab/>
            </w:r>
            <w:r>
              <w:rPr>
                <w:noProof/>
                <w:webHidden/>
              </w:rPr>
              <w:fldChar w:fldCharType="begin"/>
            </w:r>
            <w:r>
              <w:rPr>
                <w:noProof/>
                <w:webHidden/>
              </w:rPr>
              <w:instrText xml:space="preserve"> PAGEREF _Toc240909671 \h </w:instrText>
            </w:r>
            <w:r>
              <w:rPr>
                <w:noProof/>
                <w:webHidden/>
              </w:rPr>
            </w:r>
            <w:r>
              <w:rPr>
                <w:noProof/>
                <w:webHidden/>
              </w:rPr>
              <w:fldChar w:fldCharType="separate"/>
            </w:r>
            <w:r>
              <w:rPr>
                <w:noProof/>
                <w:webHidden/>
              </w:rPr>
              <w:t>7</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2" w:history="1">
            <w:r w:rsidRPr="00335BDC">
              <w:rPr>
                <w:rStyle w:val="Hipervnculo"/>
                <w:noProof/>
                <w:lang w:val="es-ES"/>
              </w:rPr>
              <w:t>8. SERVICIO ANDALUZ DE SALUD: SIGLO, GS1 Y EDI</w:t>
            </w:r>
            <w:r>
              <w:rPr>
                <w:noProof/>
                <w:webHidden/>
              </w:rPr>
              <w:tab/>
            </w:r>
            <w:r>
              <w:rPr>
                <w:noProof/>
                <w:webHidden/>
              </w:rPr>
              <w:fldChar w:fldCharType="begin"/>
            </w:r>
            <w:r>
              <w:rPr>
                <w:noProof/>
                <w:webHidden/>
              </w:rPr>
              <w:instrText xml:space="preserve"> PAGEREF _Toc240909672 \h </w:instrText>
            </w:r>
            <w:r>
              <w:rPr>
                <w:noProof/>
                <w:webHidden/>
              </w:rPr>
            </w:r>
            <w:r>
              <w:rPr>
                <w:noProof/>
                <w:webHidden/>
              </w:rPr>
              <w:fldChar w:fldCharType="separate"/>
            </w:r>
            <w:r>
              <w:rPr>
                <w:noProof/>
                <w:webHidden/>
              </w:rPr>
              <w:t>8</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3" w:history="1">
            <w:r w:rsidRPr="00335BDC">
              <w:rPr>
                <w:rStyle w:val="Hipervnculo"/>
                <w:noProof/>
                <w:lang w:val="es-ES"/>
              </w:rPr>
              <w:t>9. RED SARA</w:t>
            </w:r>
            <w:r>
              <w:rPr>
                <w:noProof/>
                <w:webHidden/>
              </w:rPr>
              <w:tab/>
            </w:r>
            <w:r>
              <w:rPr>
                <w:noProof/>
                <w:webHidden/>
              </w:rPr>
              <w:fldChar w:fldCharType="begin"/>
            </w:r>
            <w:r>
              <w:rPr>
                <w:noProof/>
                <w:webHidden/>
              </w:rPr>
              <w:instrText xml:space="preserve"> PAGEREF _Toc240909673 \h </w:instrText>
            </w:r>
            <w:r>
              <w:rPr>
                <w:noProof/>
                <w:webHidden/>
              </w:rPr>
            </w:r>
            <w:r>
              <w:rPr>
                <w:noProof/>
                <w:webHidden/>
              </w:rPr>
              <w:fldChar w:fldCharType="separate"/>
            </w:r>
            <w:r>
              <w:rPr>
                <w:noProof/>
                <w:webHidden/>
              </w:rPr>
              <w:t>9</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4" w:history="1">
            <w:r w:rsidRPr="00335BDC">
              <w:rPr>
                <w:rStyle w:val="Hipervnculo"/>
                <w:noProof/>
                <w:lang w:val="es-ES"/>
              </w:rPr>
              <w:t>10. OTROS PROYECTOS NACIONALES DE INTERCAMBIO DE DATOS</w:t>
            </w:r>
            <w:r>
              <w:rPr>
                <w:noProof/>
                <w:webHidden/>
              </w:rPr>
              <w:tab/>
            </w:r>
            <w:r>
              <w:rPr>
                <w:noProof/>
                <w:webHidden/>
              </w:rPr>
              <w:fldChar w:fldCharType="begin"/>
            </w:r>
            <w:r>
              <w:rPr>
                <w:noProof/>
                <w:webHidden/>
              </w:rPr>
              <w:instrText xml:space="preserve"> PAGEREF _Toc240909674 \h </w:instrText>
            </w:r>
            <w:r>
              <w:rPr>
                <w:noProof/>
                <w:webHidden/>
              </w:rPr>
            </w:r>
            <w:r>
              <w:rPr>
                <w:noProof/>
                <w:webHidden/>
              </w:rPr>
              <w:fldChar w:fldCharType="separate"/>
            </w:r>
            <w:r>
              <w:rPr>
                <w:noProof/>
                <w:webHidden/>
              </w:rPr>
              <w:t>10</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5" w:history="1">
            <w:r w:rsidRPr="00335BDC">
              <w:rPr>
                <w:rStyle w:val="Hipervnculo"/>
                <w:noProof/>
                <w:lang w:val="es-ES"/>
              </w:rPr>
              <w:t>11. PROYECTOS E INICIATIVAS EUROPEAS</w:t>
            </w:r>
            <w:r>
              <w:rPr>
                <w:noProof/>
                <w:webHidden/>
              </w:rPr>
              <w:tab/>
            </w:r>
            <w:r>
              <w:rPr>
                <w:noProof/>
                <w:webHidden/>
              </w:rPr>
              <w:fldChar w:fldCharType="begin"/>
            </w:r>
            <w:r>
              <w:rPr>
                <w:noProof/>
                <w:webHidden/>
              </w:rPr>
              <w:instrText xml:space="preserve"> PAGEREF _Toc240909675 \h </w:instrText>
            </w:r>
            <w:r>
              <w:rPr>
                <w:noProof/>
                <w:webHidden/>
              </w:rPr>
            </w:r>
            <w:r>
              <w:rPr>
                <w:noProof/>
                <w:webHidden/>
              </w:rPr>
              <w:fldChar w:fldCharType="separate"/>
            </w:r>
            <w:r>
              <w:rPr>
                <w:noProof/>
                <w:webHidden/>
              </w:rPr>
              <w:t>10</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6" w:history="1">
            <w:r w:rsidRPr="00335BDC">
              <w:rPr>
                <w:rStyle w:val="Hipervnculo"/>
                <w:noProof/>
                <w:lang w:val="es-ES"/>
              </w:rPr>
              <w:t>12. SEGURIDAD, PROTECCIÓN DE DATOS Y GARANTÍAS</w:t>
            </w:r>
            <w:r>
              <w:rPr>
                <w:noProof/>
                <w:webHidden/>
              </w:rPr>
              <w:tab/>
            </w:r>
            <w:r>
              <w:rPr>
                <w:noProof/>
                <w:webHidden/>
              </w:rPr>
              <w:fldChar w:fldCharType="begin"/>
            </w:r>
            <w:r>
              <w:rPr>
                <w:noProof/>
                <w:webHidden/>
              </w:rPr>
              <w:instrText xml:space="preserve"> PAGEREF _Toc240909676 \h </w:instrText>
            </w:r>
            <w:r>
              <w:rPr>
                <w:noProof/>
                <w:webHidden/>
              </w:rPr>
            </w:r>
            <w:r>
              <w:rPr>
                <w:noProof/>
                <w:webHidden/>
              </w:rPr>
              <w:fldChar w:fldCharType="separate"/>
            </w:r>
            <w:r>
              <w:rPr>
                <w:noProof/>
                <w:webHidden/>
              </w:rPr>
              <w:t>11</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7" w:history="1">
            <w:r w:rsidRPr="00335BDC">
              <w:rPr>
                <w:rStyle w:val="Hipervnculo"/>
                <w:noProof/>
              </w:rPr>
              <w:t>13. CUADRO RESUMEN PARA MEMORIZAR</w:t>
            </w:r>
            <w:r>
              <w:rPr>
                <w:noProof/>
                <w:webHidden/>
              </w:rPr>
              <w:tab/>
            </w:r>
            <w:r>
              <w:rPr>
                <w:noProof/>
                <w:webHidden/>
              </w:rPr>
              <w:fldChar w:fldCharType="begin"/>
            </w:r>
            <w:r>
              <w:rPr>
                <w:noProof/>
                <w:webHidden/>
              </w:rPr>
              <w:instrText xml:space="preserve"> PAGEREF _Toc240909677 \h </w:instrText>
            </w:r>
            <w:r>
              <w:rPr>
                <w:noProof/>
                <w:webHidden/>
              </w:rPr>
            </w:r>
            <w:r>
              <w:rPr>
                <w:noProof/>
                <w:webHidden/>
              </w:rPr>
              <w:fldChar w:fldCharType="separate"/>
            </w:r>
            <w:r>
              <w:rPr>
                <w:noProof/>
                <w:webHidden/>
              </w:rPr>
              <w:t>12</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8" w:history="1">
            <w:r w:rsidRPr="00335BDC">
              <w:rPr>
                <w:rStyle w:val="Hipervnculo"/>
                <w:noProof/>
                <w:lang w:val="es-ES"/>
              </w:rPr>
              <w:t>14. IDEAS CLAVE PARA EL EXAMEN</w:t>
            </w:r>
            <w:r>
              <w:rPr>
                <w:noProof/>
                <w:webHidden/>
              </w:rPr>
              <w:tab/>
            </w:r>
            <w:r>
              <w:rPr>
                <w:noProof/>
                <w:webHidden/>
              </w:rPr>
              <w:fldChar w:fldCharType="begin"/>
            </w:r>
            <w:r>
              <w:rPr>
                <w:noProof/>
                <w:webHidden/>
              </w:rPr>
              <w:instrText xml:space="preserve"> PAGEREF _Toc240909678 \h </w:instrText>
            </w:r>
            <w:r>
              <w:rPr>
                <w:noProof/>
                <w:webHidden/>
              </w:rPr>
            </w:r>
            <w:r>
              <w:rPr>
                <w:noProof/>
                <w:webHidden/>
              </w:rPr>
              <w:fldChar w:fldCharType="separate"/>
            </w:r>
            <w:r>
              <w:rPr>
                <w:noProof/>
                <w:webHidden/>
              </w:rPr>
              <w:t>12</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79" w:history="1">
            <w:r w:rsidRPr="00335BDC">
              <w:rPr>
                <w:rStyle w:val="Hipervnculo"/>
                <w:noProof/>
                <w:lang w:val="es-ES"/>
              </w:rPr>
              <w:t>15. PREGUNTAS DE OTRAS OPE INCLUIDAS EN EL DOCUMENTO ORIGINAL</w:t>
            </w:r>
            <w:r>
              <w:rPr>
                <w:noProof/>
                <w:webHidden/>
              </w:rPr>
              <w:tab/>
            </w:r>
            <w:r>
              <w:rPr>
                <w:noProof/>
                <w:webHidden/>
              </w:rPr>
              <w:fldChar w:fldCharType="begin"/>
            </w:r>
            <w:r>
              <w:rPr>
                <w:noProof/>
                <w:webHidden/>
              </w:rPr>
              <w:instrText xml:space="preserve"> PAGEREF _Toc240909679 \h </w:instrText>
            </w:r>
            <w:r>
              <w:rPr>
                <w:noProof/>
                <w:webHidden/>
              </w:rPr>
            </w:r>
            <w:r>
              <w:rPr>
                <w:noProof/>
                <w:webHidden/>
              </w:rPr>
              <w:fldChar w:fldCharType="separate"/>
            </w:r>
            <w:r>
              <w:rPr>
                <w:noProof/>
                <w:webHidden/>
              </w:rPr>
              <w:t>13</w:t>
            </w:r>
            <w:r>
              <w:rPr>
                <w:noProof/>
                <w:webHidden/>
              </w:rPr>
              <w:fldChar w:fldCharType="end"/>
            </w:r>
          </w:hyperlink>
        </w:p>
        <w:p w:rsidR="00EC0AFF" w:rsidRDefault="00EC0AFF">
          <w:pPr>
            <w:pStyle w:val="TDC1"/>
            <w:tabs>
              <w:tab w:val="right" w:leader="dot" w:pos="9792"/>
            </w:tabs>
            <w:rPr>
              <w:rFonts w:asciiTheme="minorHAnsi" w:eastAsiaTheme="minorEastAsia" w:hAnsiTheme="minorHAnsi"/>
              <w:noProof/>
              <w:sz w:val="24"/>
              <w:szCs w:val="24"/>
              <w:lang w:val="es-ES" w:eastAsia="es-ES"/>
            </w:rPr>
          </w:pPr>
          <w:hyperlink w:anchor="_Toc240909680" w:history="1">
            <w:r w:rsidRPr="00335BDC">
              <w:rPr>
                <w:rStyle w:val="Hipervnculo"/>
                <w:noProof/>
                <w:lang w:val="es-ES"/>
              </w:rPr>
              <w:t>16. FUENTES NORMATIVAS Y OFICIALES DE REFERENCIA</w:t>
            </w:r>
            <w:r>
              <w:rPr>
                <w:noProof/>
                <w:webHidden/>
              </w:rPr>
              <w:tab/>
            </w:r>
            <w:r>
              <w:rPr>
                <w:noProof/>
                <w:webHidden/>
              </w:rPr>
              <w:fldChar w:fldCharType="begin"/>
            </w:r>
            <w:r>
              <w:rPr>
                <w:noProof/>
                <w:webHidden/>
              </w:rPr>
              <w:instrText xml:space="preserve"> PAGEREF _Toc240909680 \h </w:instrText>
            </w:r>
            <w:r>
              <w:rPr>
                <w:noProof/>
                <w:webHidden/>
              </w:rPr>
            </w:r>
            <w:r>
              <w:rPr>
                <w:noProof/>
                <w:webHidden/>
              </w:rPr>
              <w:fldChar w:fldCharType="separate"/>
            </w:r>
            <w:r>
              <w:rPr>
                <w:noProof/>
                <w:webHidden/>
              </w:rPr>
              <w:t>15</w:t>
            </w:r>
            <w:r>
              <w:rPr>
                <w:noProof/>
                <w:webHidden/>
              </w:rPr>
              <w:fldChar w:fldCharType="end"/>
            </w:r>
          </w:hyperlink>
        </w:p>
        <w:p w:rsidR="00EC0AFF" w:rsidRDefault="00EC0AFF">
          <w:r>
            <w:rPr>
              <w:b/>
              <w:bCs/>
              <w:noProof/>
            </w:rPr>
            <w:fldChar w:fldCharType="end"/>
          </w:r>
        </w:p>
      </w:sdtContent>
    </w:sdt>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Default="00EC0AFF">
      <w:pPr>
        <w:pStyle w:val="T68Body"/>
        <w:jc w:val="center"/>
        <w:rPr>
          <w:sz w:val="22"/>
          <w:lang w:val="es-ES"/>
        </w:rPr>
      </w:pPr>
    </w:p>
    <w:p w:rsidR="00EC0AFF" w:rsidRPr="00EC0AFF" w:rsidRDefault="00EC0AFF">
      <w:pPr>
        <w:pStyle w:val="T68Body"/>
        <w:jc w:val="center"/>
        <w:rPr>
          <w:sz w:val="22"/>
          <w:lang w:val="es-ES"/>
        </w:rPr>
      </w:pPr>
    </w:p>
    <w:p w:rsidR="00161E0E" w:rsidRPr="00EC0AFF" w:rsidRDefault="00EC0AFF" w:rsidP="00EC0AFF">
      <w:pPr>
        <w:pStyle w:val="Ttulo1"/>
        <w:rPr>
          <w:lang w:val="es-ES"/>
        </w:rPr>
      </w:pPr>
      <w:bookmarkStart w:id="1" w:name="_Toc240909665"/>
      <w:r w:rsidRPr="00EC0AFF">
        <w:rPr>
          <w:lang w:val="es-ES"/>
        </w:rPr>
        <w:lastRenderedPageBreak/>
        <w:t>1. CONCEPTO DE INTERCAMBIO ELECTRÓNICO DE DATOS E INTEROPERABILIDAD</w:t>
      </w:r>
      <w:bookmarkEnd w:id="1"/>
    </w:p>
    <w:p w:rsidR="00EC0AFF" w:rsidRDefault="00EC0AFF">
      <w:pPr>
        <w:pStyle w:val="T68Body"/>
        <w:rPr>
          <w:sz w:val="22"/>
          <w:lang w:val="es-ES"/>
        </w:rPr>
      </w:pPr>
    </w:p>
    <w:p w:rsidR="00161E0E" w:rsidRPr="00EC0AFF" w:rsidRDefault="00EC0AFF">
      <w:pPr>
        <w:pStyle w:val="T68Body"/>
        <w:rPr>
          <w:sz w:val="22"/>
          <w:lang w:val="es-ES"/>
        </w:rPr>
      </w:pPr>
      <w:r w:rsidRPr="00EC0AFF">
        <w:rPr>
          <w:sz w:val="22"/>
          <w:lang w:val="es-ES"/>
        </w:rPr>
        <w:t>El intercambio electrónico de datos comprende los mecanismos que permiten transmitir información entre sistemas informáticos de organizaciones distintas o entre aplicaciones de una misma organización mediante formatos y reglas previamente acordados. Su finalidad no es únicamente sustituir el papel por un fichero electrónico, sino conseguir que la información pueda ser recibida, interpretada y procesada automáticamente por el sistema destinatario.</w:t>
      </w:r>
    </w:p>
    <w:p w:rsidR="00161E0E" w:rsidRPr="00EC0AFF" w:rsidRDefault="00EC0AFF">
      <w:pPr>
        <w:pStyle w:val="T68Body"/>
        <w:rPr>
          <w:sz w:val="22"/>
          <w:lang w:val="es-ES"/>
        </w:rPr>
      </w:pPr>
      <w:r w:rsidRPr="00EC0AFF">
        <w:rPr>
          <w:sz w:val="22"/>
          <w:lang w:val="es-ES"/>
        </w:rPr>
        <w:t>En la Administración Pública y en el ámbito sanitario, el intercambio de datos es una pieza esencial de la administración electrónica, porque permite que distintos organismos cooperen, consulten información ya disponible y presten servicios sin exigir al ciudadano la aportación repetida de documentos.</w:t>
      </w:r>
    </w:p>
    <w:p w:rsidR="00161E0E" w:rsidRPr="00EC0AFF" w:rsidRDefault="00EC0AFF">
      <w:pPr>
        <w:pStyle w:val="T68H2"/>
        <w:rPr>
          <w:lang w:val="es-ES"/>
        </w:rPr>
      </w:pPr>
      <w:r w:rsidRPr="00EC0AFF">
        <w:rPr>
          <w:lang w:val="es-ES"/>
        </w:rPr>
        <w:t>1.1. Características y ventajas</w:t>
      </w:r>
    </w:p>
    <w:p w:rsidR="00161E0E" w:rsidRPr="00EC0AFF" w:rsidRDefault="00EC0AFF">
      <w:pPr>
        <w:pStyle w:val="T68Bullet"/>
        <w:rPr>
          <w:sz w:val="22"/>
          <w:lang w:val="es-ES"/>
        </w:rPr>
      </w:pPr>
      <w:r w:rsidRPr="00EC0AFF">
        <w:rPr>
          <w:sz w:val="22"/>
          <w:lang w:val="es-ES"/>
        </w:rPr>
        <w:t xml:space="preserve">• </w:t>
      </w:r>
      <w:r w:rsidRPr="00EC0AFF">
        <w:rPr>
          <w:b/>
          <w:sz w:val="22"/>
          <w:lang w:val="es-ES"/>
        </w:rPr>
        <w:t>Automatización:</w:t>
      </w:r>
      <w:r w:rsidRPr="00EC0AFF">
        <w:rPr>
          <w:sz w:val="22"/>
          <w:lang w:val="es-ES"/>
        </w:rPr>
        <w:t xml:space="preserve"> evita la reintroducción manual de datos y permite encadenar procesos entre aplicaciones.</w:t>
      </w:r>
    </w:p>
    <w:p w:rsidR="00161E0E" w:rsidRPr="00EC0AFF" w:rsidRDefault="00EC0AFF">
      <w:pPr>
        <w:pStyle w:val="T68Bullet"/>
        <w:rPr>
          <w:sz w:val="22"/>
          <w:lang w:val="es-ES"/>
        </w:rPr>
      </w:pPr>
      <w:r w:rsidRPr="00EC0AFF">
        <w:rPr>
          <w:sz w:val="22"/>
          <w:lang w:val="es-ES"/>
        </w:rPr>
        <w:t xml:space="preserve">• </w:t>
      </w:r>
      <w:r w:rsidRPr="00EC0AFF">
        <w:rPr>
          <w:b/>
          <w:sz w:val="22"/>
          <w:lang w:val="es-ES"/>
        </w:rPr>
        <w:t>Normalización:</w:t>
      </w:r>
      <w:r w:rsidRPr="00EC0AFF">
        <w:rPr>
          <w:sz w:val="22"/>
          <w:lang w:val="es-ES"/>
        </w:rPr>
        <w:t xml:space="preserve"> emisor y receptor utilizan reglas comunes sobre estructura, significado y codificación de los datos.</w:t>
      </w:r>
    </w:p>
    <w:p w:rsidR="00161E0E" w:rsidRPr="00EC0AFF" w:rsidRDefault="00EC0AFF">
      <w:pPr>
        <w:pStyle w:val="T68Bullet"/>
        <w:rPr>
          <w:sz w:val="22"/>
          <w:lang w:val="es-ES"/>
        </w:rPr>
      </w:pPr>
      <w:r w:rsidRPr="00EC0AFF">
        <w:rPr>
          <w:sz w:val="22"/>
          <w:lang w:val="es-ES"/>
        </w:rPr>
        <w:t xml:space="preserve">• </w:t>
      </w:r>
      <w:r w:rsidRPr="00EC0AFF">
        <w:rPr>
          <w:b/>
          <w:sz w:val="22"/>
          <w:lang w:val="es-ES"/>
        </w:rPr>
        <w:t>Rapidez y eficiencia:</w:t>
      </w:r>
      <w:r w:rsidRPr="00EC0AFF">
        <w:rPr>
          <w:sz w:val="22"/>
          <w:lang w:val="es-ES"/>
        </w:rPr>
        <w:t xml:space="preserve"> reduce tiempos de tramitación, costes administrativos y tareas repetitivas.</w:t>
      </w:r>
    </w:p>
    <w:p w:rsidR="00161E0E" w:rsidRPr="00EC0AFF" w:rsidRDefault="00EC0AFF">
      <w:pPr>
        <w:pStyle w:val="T68Bullet"/>
        <w:rPr>
          <w:sz w:val="22"/>
          <w:lang w:val="es-ES"/>
        </w:rPr>
      </w:pPr>
      <w:r w:rsidRPr="00EC0AFF">
        <w:rPr>
          <w:sz w:val="22"/>
          <w:lang w:val="es-ES"/>
        </w:rPr>
        <w:t xml:space="preserve">• </w:t>
      </w:r>
      <w:r w:rsidRPr="00EC0AFF">
        <w:rPr>
          <w:b/>
          <w:sz w:val="22"/>
          <w:lang w:val="es-ES"/>
        </w:rPr>
        <w:t>Reducción de errores:</w:t>
      </w:r>
      <w:r w:rsidRPr="00EC0AFF">
        <w:rPr>
          <w:sz w:val="22"/>
          <w:lang w:val="es-ES"/>
        </w:rPr>
        <w:t xml:space="preserve"> las validaciones automáticas disminuyen errores de transcripción y mejoran la calidad del dato.</w:t>
      </w:r>
    </w:p>
    <w:p w:rsidR="00161E0E" w:rsidRPr="00EC0AFF" w:rsidRDefault="00EC0AFF">
      <w:pPr>
        <w:pStyle w:val="T68Bullet"/>
        <w:rPr>
          <w:sz w:val="22"/>
          <w:lang w:val="es-ES"/>
        </w:rPr>
      </w:pPr>
      <w:r w:rsidRPr="00EC0AFF">
        <w:rPr>
          <w:sz w:val="22"/>
          <w:lang w:val="es-ES"/>
        </w:rPr>
        <w:t xml:space="preserve">• </w:t>
      </w:r>
      <w:r w:rsidRPr="00EC0AFF">
        <w:rPr>
          <w:b/>
          <w:sz w:val="22"/>
          <w:lang w:val="es-ES"/>
        </w:rPr>
        <w:t>Trazabilidad:</w:t>
      </w:r>
      <w:r w:rsidRPr="00EC0AFF">
        <w:rPr>
          <w:sz w:val="22"/>
          <w:lang w:val="es-ES"/>
        </w:rPr>
        <w:t xml:space="preserve"> los sistemas pueden registrar solicitudes, respuestas, fechas, estados e incidencias.</w:t>
      </w:r>
    </w:p>
    <w:p w:rsidR="00161E0E" w:rsidRPr="00EC0AFF" w:rsidRDefault="00EC0AFF">
      <w:pPr>
        <w:pStyle w:val="T68Bullet"/>
        <w:rPr>
          <w:sz w:val="22"/>
          <w:lang w:val="es-ES"/>
        </w:rPr>
      </w:pPr>
      <w:r w:rsidRPr="00EC0AFF">
        <w:rPr>
          <w:sz w:val="22"/>
          <w:lang w:val="es-ES"/>
        </w:rPr>
        <w:t xml:space="preserve">• </w:t>
      </w:r>
      <w:r w:rsidRPr="00EC0AFF">
        <w:rPr>
          <w:b/>
          <w:sz w:val="22"/>
          <w:lang w:val="es-ES"/>
        </w:rPr>
        <w:t>Seguridad:</w:t>
      </w:r>
      <w:r w:rsidRPr="00EC0AFF">
        <w:rPr>
          <w:sz w:val="22"/>
          <w:lang w:val="es-ES"/>
        </w:rPr>
        <w:t xml:space="preserve"> el intercambio puede incorporar autenticación, autorización, confidencialidad, integridad, firma electrónica y sellado de tiempo.</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w:t>
      </w:r>
      <w:r w:rsidRPr="00EC0AFF">
        <w:rPr>
          <w:sz w:val="22"/>
          <w:lang w:val="es-ES"/>
        </w:rPr>
        <w:t xml:space="preserve"> permite que organizaciones y sistemas diferentes cooperen y utilicen la información intercambiada.</w:t>
      </w:r>
    </w:p>
    <w:p w:rsidR="00161E0E" w:rsidRPr="00EC0AFF" w:rsidRDefault="00EC0AFF">
      <w:pPr>
        <w:pStyle w:val="T68H2"/>
        <w:rPr>
          <w:lang w:val="es-ES"/>
        </w:rPr>
      </w:pPr>
      <w:r w:rsidRPr="00EC0AFF">
        <w:rPr>
          <w:lang w:val="es-ES"/>
        </w:rPr>
        <w:t>1.2. Niveles de interoperabilidad</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 técnica:</w:t>
      </w:r>
      <w:r w:rsidRPr="00EC0AFF">
        <w:rPr>
          <w:sz w:val="22"/>
          <w:lang w:val="es-ES"/>
        </w:rPr>
        <w:t xml:space="preserve"> compatibilidad de redes, protocolos, interfaces, servicios y mecanismos de comunicación.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 sintáctica:</w:t>
      </w:r>
      <w:r w:rsidRPr="00EC0AFF">
        <w:rPr>
          <w:sz w:val="22"/>
          <w:lang w:val="es-ES"/>
        </w:rPr>
        <w:t xml:space="preserve"> uso de estructuras y formatos comunes, de forma que un sistema pueda interpretar la organización de los datos recibidos; por </w:t>
      </w:r>
      <w:proofErr w:type="gramStart"/>
      <w:r w:rsidRPr="00EC0AFF">
        <w:rPr>
          <w:sz w:val="22"/>
          <w:lang w:val="es-ES"/>
        </w:rPr>
        <w:t>ejemplo</w:t>
      </w:r>
      <w:proofErr w:type="gramEnd"/>
      <w:r w:rsidRPr="00EC0AFF">
        <w:rPr>
          <w:sz w:val="22"/>
          <w:lang w:val="es-ES"/>
        </w:rPr>
        <w:t xml:space="preserve"> XML, JSON o mensajes EDIFACT.</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 semántica:</w:t>
      </w:r>
      <w:r w:rsidRPr="00EC0AFF">
        <w:rPr>
          <w:sz w:val="22"/>
          <w:lang w:val="es-ES"/>
        </w:rPr>
        <w:t xml:space="preserve"> conservación del significado de la información para que el dato sea entendido de igual forma por todos los sistemas. En sanidad son relevantes terminologías como SNOMED CT y LOINC.</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 organizativa:</w:t>
      </w:r>
      <w:r w:rsidRPr="00EC0AFF">
        <w:rPr>
          <w:sz w:val="22"/>
          <w:lang w:val="es-ES"/>
        </w:rPr>
        <w:t xml:space="preserve"> alineación de procedimientos, responsabilidades, reglas de negocio y acuerdos entre las organizaciones participantes.</w:t>
      </w:r>
    </w:p>
    <w:p w:rsidR="00161E0E" w:rsidRPr="00EC0AFF" w:rsidRDefault="00EC0AFF">
      <w:pPr>
        <w:pStyle w:val="T68Body"/>
        <w:rPr>
          <w:sz w:val="22"/>
          <w:lang w:val="es-ES"/>
        </w:rPr>
      </w:pPr>
      <w:r w:rsidRPr="00EC0AFF">
        <w:rPr>
          <w:sz w:val="22"/>
          <w:lang w:val="es-ES"/>
        </w:rPr>
        <w:t>En el sector público español, el Esquema Nacional de Interoperabilidad (ENI), regulado por el Real Decreto 4/2010, establece principios y criterios para favorecer la interoperabilidad de los sistemas y servicios electrónicos de las Administraciones Públicas.</w:t>
      </w:r>
    </w:p>
    <w:p w:rsidR="00EC0AFF" w:rsidRDefault="00EC0AFF" w:rsidP="00EC0AFF">
      <w:pPr>
        <w:pStyle w:val="Ttulo1"/>
        <w:rPr>
          <w:lang w:val="es-ES"/>
        </w:rPr>
      </w:pPr>
    </w:p>
    <w:p w:rsidR="00EC0AFF" w:rsidRPr="00EC0AFF" w:rsidRDefault="00EC0AFF" w:rsidP="00EC0AFF">
      <w:pPr>
        <w:rPr>
          <w:lang w:val="es-ES"/>
        </w:rPr>
      </w:pPr>
    </w:p>
    <w:p w:rsidR="00EC0AFF" w:rsidRDefault="00EC0AFF" w:rsidP="00EC0AFF">
      <w:pPr>
        <w:rPr>
          <w:lang w:val="es-ES"/>
        </w:rPr>
      </w:pPr>
    </w:p>
    <w:p w:rsidR="00EC0AFF" w:rsidRPr="00EC0AFF" w:rsidRDefault="00EC0AFF" w:rsidP="00EC0AFF">
      <w:pPr>
        <w:rPr>
          <w:lang w:val="es-ES"/>
        </w:rPr>
      </w:pPr>
    </w:p>
    <w:p w:rsidR="00161E0E" w:rsidRPr="00EC0AFF" w:rsidRDefault="00EC0AFF" w:rsidP="00EC0AFF">
      <w:pPr>
        <w:pStyle w:val="Ttulo1"/>
        <w:rPr>
          <w:lang w:val="es-ES"/>
        </w:rPr>
      </w:pPr>
      <w:bookmarkStart w:id="2" w:name="_Toc240909666"/>
      <w:r w:rsidRPr="00EC0AFF">
        <w:rPr>
          <w:lang w:val="es-ES"/>
        </w:rPr>
        <w:lastRenderedPageBreak/>
        <w:t>2. EDI (ELECTRONIC DATA INTERCHANGE)</w:t>
      </w:r>
      <w:bookmarkEnd w:id="2"/>
    </w:p>
    <w:p w:rsidR="00EC0AFF" w:rsidRDefault="00EC0AFF">
      <w:pPr>
        <w:pStyle w:val="T68Body"/>
        <w:rPr>
          <w:sz w:val="22"/>
          <w:lang w:val="es-ES"/>
        </w:rPr>
      </w:pPr>
    </w:p>
    <w:p w:rsidR="00161E0E" w:rsidRPr="00EC0AFF" w:rsidRDefault="00EC0AFF">
      <w:pPr>
        <w:pStyle w:val="T68Body"/>
        <w:rPr>
          <w:sz w:val="22"/>
          <w:lang w:val="es-ES"/>
        </w:rPr>
      </w:pPr>
      <w:r w:rsidRPr="00EC0AFF">
        <w:rPr>
          <w:sz w:val="22"/>
          <w:lang w:val="es-ES"/>
        </w:rPr>
        <w:t>EDI es el intercambio electrónico, de aplicación a aplicación, de documentos estructurados conforme a estándares previamente acordados. Frente al envío de un documento electrónico destinado principalmente a ser leído por una persona, un mensaje EDI está diseñado para que el sistema receptor pueda interpretarlo y procesarlo automáticamente.</w:t>
      </w:r>
    </w:p>
    <w:p w:rsidR="00161E0E" w:rsidRPr="00EC0AFF" w:rsidRDefault="00EC0AFF">
      <w:pPr>
        <w:pStyle w:val="T68H2"/>
        <w:rPr>
          <w:lang w:val="es-ES"/>
        </w:rPr>
      </w:pPr>
      <w:r w:rsidRPr="00EC0AFF">
        <w:rPr>
          <w:lang w:val="es-ES"/>
        </w:rPr>
        <w:t>2.1. Funcionamiento básico</w:t>
      </w:r>
    </w:p>
    <w:p w:rsidR="00161E0E" w:rsidRPr="00EC0AFF" w:rsidRDefault="00EC0AFF">
      <w:pPr>
        <w:pStyle w:val="T68Bullet"/>
        <w:rPr>
          <w:sz w:val="22"/>
          <w:lang w:val="es-ES"/>
        </w:rPr>
      </w:pPr>
      <w:r w:rsidRPr="00EC0AFF">
        <w:rPr>
          <w:sz w:val="22"/>
          <w:lang w:val="es-ES"/>
        </w:rPr>
        <w:t xml:space="preserve">• </w:t>
      </w:r>
      <w:r w:rsidRPr="00EC0AFF">
        <w:rPr>
          <w:b/>
          <w:sz w:val="22"/>
          <w:lang w:val="es-ES"/>
        </w:rPr>
        <w:t>Generación:</w:t>
      </w:r>
      <w:r w:rsidRPr="00EC0AFF">
        <w:rPr>
          <w:sz w:val="22"/>
          <w:lang w:val="es-ES"/>
        </w:rPr>
        <w:t xml:space="preserve"> la aplicación emisora obtiene los datos de su sistema de gestión y los transforma al formato EDI acordado.</w:t>
      </w:r>
    </w:p>
    <w:p w:rsidR="00161E0E" w:rsidRPr="00EC0AFF" w:rsidRDefault="00EC0AFF">
      <w:pPr>
        <w:pStyle w:val="T68Bullet"/>
        <w:rPr>
          <w:sz w:val="22"/>
          <w:lang w:val="es-ES"/>
        </w:rPr>
      </w:pPr>
      <w:r w:rsidRPr="00EC0AFF">
        <w:rPr>
          <w:sz w:val="22"/>
          <w:lang w:val="es-ES"/>
        </w:rPr>
        <w:t xml:space="preserve">• </w:t>
      </w:r>
      <w:r w:rsidRPr="00EC0AFF">
        <w:rPr>
          <w:b/>
          <w:sz w:val="22"/>
          <w:lang w:val="es-ES"/>
        </w:rPr>
        <w:t>Validación:</w:t>
      </w:r>
      <w:r w:rsidRPr="00EC0AFF">
        <w:rPr>
          <w:sz w:val="22"/>
          <w:lang w:val="es-ES"/>
        </w:rPr>
        <w:t xml:space="preserve"> se comprueba que el mensaje cumple la sintaxis, los campos obligatorios y las reglas de negocio pactadas.</w:t>
      </w:r>
    </w:p>
    <w:p w:rsidR="00161E0E" w:rsidRPr="00EC0AFF" w:rsidRDefault="00EC0AFF">
      <w:pPr>
        <w:pStyle w:val="T68Bullet"/>
        <w:rPr>
          <w:sz w:val="22"/>
          <w:lang w:val="es-ES"/>
        </w:rPr>
      </w:pPr>
      <w:r w:rsidRPr="00EC0AFF">
        <w:rPr>
          <w:sz w:val="22"/>
          <w:lang w:val="es-ES"/>
        </w:rPr>
        <w:t xml:space="preserve">• </w:t>
      </w:r>
      <w:r w:rsidRPr="00EC0AFF">
        <w:rPr>
          <w:b/>
          <w:sz w:val="22"/>
          <w:lang w:val="es-ES"/>
        </w:rPr>
        <w:t>Transmisión:</w:t>
      </w:r>
      <w:r w:rsidRPr="00EC0AFF">
        <w:rPr>
          <w:sz w:val="22"/>
          <w:lang w:val="es-ES"/>
        </w:rPr>
        <w:t xml:space="preserve"> el mensaje se envía mediante conexión directa, una red de valor añadido o protocolos sobre Internet.</w:t>
      </w:r>
    </w:p>
    <w:p w:rsidR="00161E0E" w:rsidRPr="00EC0AFF" w:rsidRDefault="00EC0AFF">
      <w:pPr>
        <w:pStyle w:val="T68Bullet"/>
        <w:rPr>
          <w:sz w:val="22"/>
          <w:lang w:val="es-ES"/>
        </w:rPr>
      </w:pPr>
      <w:r w:rsidRPr="00EC0AFF">
        <w:rPr>
          <w:sz w:val="22"/>
          <w:lang w:val="es-ES"/>
        </w:rPr>
        <w:t xml:space="preserve">• </w:t>
      </w:r>
      <w:r w:rsidRPr="00EC0AFF">
        <w:rPr>
          <w:b/>
          <w:sz w:val="22"/>
          <w:lang w:val="es-ES"/>
        </w:rPr>
        <w:t>Recepción y traducción:</w:t>
      </w:r>
      <w:r w:rsidRPr="00EC0AFF">
        <w:rPr>
          <w:sz w:val="22"/>
          <w:lang w:val="es-ES"/>
        </w:rPr>
        <w:t xml:space="preserve"> el destinatario recibe el mensaje, valida su estructura y lo transforma al formato interno de su aplicación.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Integración:</w:t>
      </w:r>
      <w:r w:rsidRPr="00EC0AFF">
        <w:rPr>
          <w:sz w:val="22"/>
          <w:lang w:val="es-ES"/>
        </w:rPr>
        <w:t xml:space="preserve"> la información se incorpora automáticamente al proceso de destino, por </w:t>
      </w:r>
      <w:proofErr w:type="gramStart"/>
      <w:r w:rsidRPr="00EC0AFF">
        <w:rPr>
          <w:sz w:val="22"/>
          <w:lang w:val="es-ES"/>
        </w:rPr>
        <w:t>ejemplo</w:t>
      </w:r>
      <w:proofErr w:type="gramEnd"/>
      <w:r w:rsidRPr="00EC0AFF">
        <w:rPr>
          <w:sz w:val="22"/>
          <w:lang w:val="es-ES"/>
        </w:rPr>
        <w:t xml:space="preserve"> generando una recepción, una factura o una actualización de stock.</w:t>
      </w:r>
    </w:p>
    <w:p w:rsidR="00161E0E" w:rsidRPr="00EC0AFF" w:rsidRDefault="00EC0AFF">
      <w:pPr>
        <w:pStyle w:val="T68H2"/>
        <w:rPr>
          <w:lang w:val="es-ES"/>
        </w:rPr>
      </w:pPr>
      <w:r w:rsidRPr="00EC0AFF">
        <w:rPr>
          <w:lang w:val="es-ES"/>
        </w:rPr>
        <w:t>2.2. Modalidades de transmisión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Conexión directa o punto a punto:</w:t>
      </w:r>
      <w:r w:rsidRPr="00EC0AFF">
        <w:rPr>
          <w:sz w:val="22"/>
          <w:lang w:val="es-ES"/>
        </w:rPr>
        <w:t xml:space="preserve"> comunicación directa entre los sistemas de dos organizaciones. Ofrece control y rapidez, aunque exige acordar y mantener la integración entre las partes.</w:t>
      </w:r>
    </w:p>
    <w:p w:rsidR="00161E0E" w:rsidRPr="00EC0AFF" w:rsidRDefault="00EC0AFF">
      <w:pPr>
        <w:pStyle w:val="T68Bullet"/>
        <w:rPr>
          <w:sz w:val="22"/>
          <w:lang w:val="es-ES"/>
        </w:rPr>
      </w:pPr>
      <w:r w:rsidRPr="00EC0AFF">
        <w:rPr>
          <w:sz w:val="22"/>
          <w:lang w:val="es-ES"/>
        </w:rPr>
        <w:t xml:space="preserve">• </w:t>
      </w:r>
      <w:r w:rsidRPr="00EC0AFF">
        <w:rPr>
          <w:b/>
          <w:sz w:val="22"/>
          <w:lang w:val="es-ES"/>
        </w:rPr>
        <w:t>VAN (</w:t>
      </w:r>
      <w:proofErr w:type="spellStart"/>
      <w:r w:rsidRPr="00EC0AFF">
        <w:rPr>
          <w:b/>
          <w:sz w:val="22"/>
          <w:lang w:val="es-ES"/>
        </w:rPr>
        <w:t>Value</w:t>
      </w:r>
      <w:proofErr w:type="spellEnd"/>
      <w:r w:rsidRPr="00EC0AFF">
        <w:rPr>
          <w:b/>
          <w:sz w:val="22"/>
          <w:lang w:val="es-ES"/>
        </w:rPr>
        <w:t xml:space="preserve"> </w:t>
      </w:r>
      <w:proofErr w:type="spellStart"/>
      <w:r w:rsidRPr="00EC0AFF">
        <w:rPr>
          <w:b/>
          <w:sz w:val="22"/>
          <w:lang w:val="es-ES"/>
        </w:rPr>
        <w:t>Added</w:t>
      </w:r>
      <w:proofErr w:type="spellEnd"/>
      <w:r w:rsidRPr="00EC0AFF">
        <w:rPr>
          <w:b/>
          <w:sz w:val="22"/>
          <w:lang w:val="es-ES"/>
        </w:rPr>
        <w:t xml:space="preserve"> Network):</w:t>
      </w:r>
      <w:r w:rsidRPr="00EC0AFF">
        <w:rPr>
          <w:sz w:val="22"/>
          <w:lang w:val="es-ES"/>
        </w:rPr>
        <w:t xml:space="preserve"> red de valor añadido gestionada por un tercero que puede proporcionar buzones, encaminamiento, control de entrega, transformación de formatos y trazabilidad.</w:t>
      </w:r>
    </w:p>
    <w:p w:rsidR="00161E0E" w:rsidRPr="00EC0AFF" w:rsidRDefault="00EC0AFF">
      <w:pPr>
        <w:pStyle w:val="T68Bullet"/>
        <w:rPr>
          <w:sz w:val="22"/>
          <w:lang w:val="es-ES"/>
        </w:rPr>
      </w:pPr>
      <w:r w:rsidRPr="00EC0AFF">
        <w:rPr>
          <w:sz w:val="22"/>
          <w:lang w:val="es-ES"/>
        </w:rPr>
        <w:t xml:space="preserve">• </w:t>
      </w:r>
      <w:r w:rsidRPr="00EC0AFF">
        <w:rPr>
          <w:b/>
          <w:sz w:val="22"/>
          <w:lang w:val="es-ES"/>
        </w:rPr>
        <w:t>EDI sobre Internet:</w:t>
      </w:r>
      <w:r w:rsidRPr="00EC0AFF">
        <w:rPr>
          <w:sz w:val="22"/>
          <w:lang w:val="es-ES"/>
        </w:rPr>
        <w:t xml:space="preserve"> utiliza redes IP y protocolos seguros como AS2, SFTP o servicios web, reduciendo la dependencia de redes privadas especializadas.</w:t>
      </w:r>
    </w:p>
    <w:p w:rsidR="00161E0E" w:rsidRPr="00EC0AFF" w:rsidRDefault="00EC0AFF">
      <w:pPr>
        <w:pStyle w:val="T68H2"/>
        <w:rPr>
          <w:lang w:val="es-ES"/>
        </w:rPr>
      </w:pPr>
      <w:r w:rsidRPr="00EC0AFF">
        <w:rPr>
          <w:lang w:val="es-ES"/>
        </w:rPr>
        <w:t>2.3. Ventajas e inconvenientes</w:t>
      </w:r>
    </w:p>
    <w:p w:rsidR="00161E0E" w:rsidRPr="00EC0AFF" w:rsidRDefault="00EC0AFF">
      <w:pPr>
        <w:pStyle w:val="T68Bullet"/>
        <w:rPr>
          <w:sz w:val="22"/>
          <w:lang w:val="es-ES"/>
        </w:rPr>
      </w:pPr>
      <w:r w:rsidRPr="00EC0AFF">
        <w:rPr>
          <w:sz w:val="22"/>
          <w:lang w:val="es-ES"/>
        </w:rPr>
        <w:t xml:space="preserve">• </w:t>
      </w:r>
      <w:r w:rsidRPr="00EC0AFF">
        <w:rPr>
          <w:b/>
          <w:sz w:val="22"/>
          <w:lang w:val="es-ES"/>
        </w:rPr>
        <w:t>Ventajas:</w:t>
      </w:r>
      <w:r w:rsidRPr="00EC0AFF">
        <w:rPr>
          <w:sz w:val="22"/>
          <w:lang w:val="es-ES"/>
        </w:rPr>
        <w:t xml:space="preserve"> mayor velocidad de intercambio, reducción de costes y errores, integración de procesos, trazabilidad y mejora de la cadena de suministro.</w:t>
      </w:r>
    </w:p>
    <w:p w:rsidR="00161E0E" w:rsidRDefault="00EC0AFF">
      <w:pPr>
        <w:pStyle w:val="T68Bullet"/>
        <w:rPr>
          <w:sz w:val="22"/>
          <w:lang w:val="es-ES"/>
        </w:rPr>
      </w:pPr>
      <w:r w:rsidRPr="00EC0AFF">
        <w:rPr>
          <w:sz w:val="22"/>
          <w:lang w:val="es-ES"/>
        </w:rPr>
        <w:t xml:space="preserve">• </w:t>
      </w:r>
      <w:r w:rsidRPr="00EC0AFF">
        <w:rPr>
          <w:b/>
          <w:sz w:val="22"/>
          <w:lang w:val="es-ES"/>
        </w:rPr>
        <w:t>Inconvenientes o retos:</w:t>
      </w:r>
      <w:r w:rsidRPr="00EC0AFF">
        <w:rPr>
          <w:sz w:val="22"/>
          <w:lang w:val="es-ES"/>
        </w:rPr>
        <w:t xml:space="preserve"> inversión inicial, necesidad de acuerdos comunes, adaptación de sistemas heredados, dependencia de la calidad de los datos y necesidad de medidas de seguridad y continuidad.</w:t>
      </w:r>
    </w:p>
    <w:p w:rsidR="00EC0AFF" w:rsidRPr="00EC0AFF" w:rsidRDefault="00EC0AFF">
      <w:pPr>
        <w:pStyle w:val="T68Bullet"/>
        <w:rPr>
          <w:sz w:val="22"/>
          <w:lang w:val="es-ES"/>
        </w:rPr>
      </w:pPr>
    </w:p>
    <w:p w:rsidR="00161E0E" w:rsidRPr="00EC0AFF" w:rsidRDefault="00EC0AFF" w:rsidP="00EC0AFF">
      <w:pPr>
        <w:pStyle w:val="Ttulo1"/>
        <w:rPr>
          <w:lang w:val="es-ES"/>
        </w:rPr>
      </w:pPr>
      <w:bookmarkStart w:id="3" w:name="_Toc240909667"/>
      <w:r w:rsidRPr="00EC0AFF">
        <w:rPr>
          <w:lang w:val="es-ES"/>
        </w:rPr>
        <w:t>3. NORMAS Y ESTÁNDARES EDI</w:t>
      </w:r>
      <w:bookmarkEnd w:id="3"/>
    </w:p>
    <w:p w:rsidR="00161E0E" w:rsidRPr="00EC0AFF" w:rsidRDefault="00EC0AFF">
      <w:pPr>
        <w:pStyle w:val="T68H2"/>
        <w:rPr>
          <w:lang w:val="es-ES"/>
        </w:rPr>
      </w:pPr>
      <w:r w:rsidRPr="00EC0AFF">
        <w:rPr>
          <w:lang w:val="es-ES"/>
        </w:rPr>
        <w:t>3.1. UN/EDIFACT</w:t>
      </w:r>
    </w:p>
    <w:p w:rsidR="00161E0E" w:rsidRPr="00EC0AFF" w:rsidRDefault="00EC0AFF">
      <w:pPr>
        <w:pStyle w:val="T68Body"/>
        <w:rPr>
          <w:sz w:val="22"/>
          <w:lang w:val="es-ES"/>
        </w:rPr>
      </w:pPr>
      <w:r w:rsidRPr="00EC0AFF">
        <w:rPr>
          <w:sz w:val="22"/>
          <w:lang w:val="es-ES"/>
        </w:rPr>
        <w:t>UN/EDIFACT (</w:t>
      </w:r>
      <w:proofErr w:type="spellStart"/>
      <w:r w:rsidRPr="00EC0AFF">
        <w:rPr>
          <w:sz w:val="22"/>
          <w:lang w:val="es-ES"/>
        </w:rPr>
        <w:t>United</w:t>
      </w:r>
      <w:proofErr w:type="spellEnd"/>
      <w:r w:rsidRPr="00EC0AFF">
        <w:rPr>
          <w:sz w:val="22"/>
          <w:lang w:val="es-ES"/>
        </w:rPr>
        <w:t xml:space="preserve"> </w:t>
      </w:r>
      <w:proofErr w:type="spellStart"/>
      <w:r w:rsidRPr="00EC0AFF">
        <w:rPr>
          <w:sz w:val="22"/>
          <w:lang w:val="es-ES"/>
        </w:rPr>
        <w:t>Nations</w:t>
      </w:r>
      <w:proofErr w:type="spellEnd"/>
      <w:r w:rsidRPr="00EC0AFF">
        <w:rPr>
          <w:sz w:val="22"/>
          <w:lang w:val="es-ES"/>
        </w:rPr>
        <w:t xml:space="preserve"> rules </w:t>
      </w:r>
      <w:proofErr w:type="spellStart"/>
      <w:r w:rsidRPr="00EC0AFF">
        <w:rPr>
          <w:sz w:val="22"/>
          <w:lang w:val="es-ES"/>
        </w:rPr>
        <w:t>for</w:t>
      </w:r>
      <w:proofErr w:type="spellEnd"/>
      <w:r w:rsidRPr="00EC0AFF">
        <w:rPr>
          <w:sz w:val="22"/>
          <w:lang w:val="es-ES"/>
        </w:rPr>
        <w:t xml:space="preserve"> </w:t>
      </w:r>
      <w:proofErr w:type="spellStart"/>
      <w:r w:rsidRPr="00EC0AFF">
        <w:rPr>
          <w:sz w:val="22"/>
          <w:lang w:val="es-ES"/>
        </w:rPr>
        <w:t>Electronic</w:t>
      </w:r>
      <w:proofErr w:type="spellEnd"/>
      <w:r w:rsidRPr="00EC0AFF">
        <w:rPr>
          <w:sz w:val="22"/>
          <w:lang w:val="es-ES"/>
        </w:rPr>
        <w:t xml:space="preserve"> Data </w:t>
      </w:r>
      <w:proofErr w:type="spellStart"/>
      <w:r w:rsidRPr="00EC0AFF">
        <w:rPr>
          <w:sz w:val="22"/>
          <w:lang w:val="es-ES"/>
        </w:rPr>
        <w:t>Interchange</w:t>
      </w:r>
      <w:proofErr w:type="spellEnd"/>
      <w:r w:rsidRPr="00EC0AFF">
        <w:rPr>
          <w:sz w:val="22"/>
          <w:lang w:val="es-ES"/>
        </w:rPr>
        <w:t xml:space="preserve"> </w:t>
      </w:r>
      <w:proofErr w:type="spellStart"/>
      <w:r w:rsidRPr="00EC0AFF">
        <w:rPr>
          <w:sz w:val="22"/>
          <w:lang w:val="es-ES"/>
        </w:rPr>
        <w:t>for</w:t>
      </w:r>
      <w:proofErr w:type="spellEnd"/>
      <w:r w:rsidRPr="00EC0AFF">
        <w:rPr>
          <w:sz w:val="22"/>
          <w:lang w:val="es-ES"/>
        </w:rPr>
        <w:t xml:space="preserve"> </w:t>
      </w:r>
      <w:proofErr w:type="spellStart"/>
      <w:r w:rsidRPr="00EC0AFF">
        <w:rPr>
          <w:sz w:val="22"/>
          <w:lang w:val="es-ES"/>
        </w:rPr>
        <w:t>Administration</w:t>
      </w:r>
      <w:proofErr w:type="spellEnd"/>
      <w:r w:rsidRPr="00EC0AFF">
        <w:rPr>
          <w:sz w:val="22"/>
          <w:lang w:val="es-ES"/>
        </w:rPr>
        <w:t xml:space="preserve">, Commerce and </w:t>
      </w:r>
      <w:proofErr w:type="spellStart"/>
      <w:r w:rsidRPr="00EC0AFF">
        <w:rPr>
          <w:sz w:val="22"/>
          <w:lang w:val="es-ES"/>
        </w:rPr>
        <w:t>Transport</w:t>
      </w:r>
      <w:proofErr w:type="spellEnd"/>
      <w:r w:rsidRPr="00EC0AFF">
        <w:rPr>
          <w:sz w:val="22"/>
          <w:lang w:val="es-ES"/>
        </w:rPr>
        <w:t>) es un estándar internacional promovido en el marco de Naciones Unidas para el intercambio electrónico de datos en administración, comercio y transporte. Define reglas sintácticas y un conjunto de mensajes normalizados para representar transacciones empresariales y administrativas.</w:t>
      </w:r>
    </w:p>
    <w:p w:rsidR="00161E0E" w:rsidRPr="00EC0AFF" w:rsidRDefault="00EC0AFF">
      <w:pPr>
        <w:pStyle w:val="T68Bullet"/>
        <w:rPr>
          <w:sz w:val="22"/>
          <w:lang w:val="es-ES"/>
        </w:rPr>
      </w:pPr>
      <w:r w:rsidRPr="00EC0AFF">
        <w:rPr>
          <w:sz w:val="22"/>
          <w:lang w:val="es-ES"/>
        </w:rPr>
        <w:t xml:space="preserve">• </w:t>
      </w:r>
      <w:r w:rsidRPr="00EC0AFF">
        <w:rPr>
          <w:b/>
          <w:sz w:val="22"/>
          <w:lang w:val="es-ES"/>
        </w:rPr>
        <w:t>ORDERS:</w:t>
      </w:r>
      <w:r w:rsidRPr="00EC0AFF">
        <w:rPr>
          <w:sz w:val="22"/>
          <w:lang w:val="es-ES"/>
        </w:rPr>
        <w:t xml:space="preserve"> mensaje de pedido.</w:t>
      </w:r>
    </w:p>
    <w:p w:rsidR="00161E0E" w:rsidRPr="00EC0AFF" w:rsidRDefault="00EC0AFF">
      <w:pPr>
        <w:pStyle w:val="T68Bullet"/>
        <w:rPr>
          <w:sz w:val="22"/>
          <w:lang w:val="es-ES"/>
        </w:rPr>
      </w:pPr>
      <w:r w:rsidRPr="00EC0AFF">
        <w:rPr>
          <w:sz w:val="22"/>
          <w:lang w:val="es-ES"/>
        </w:rPr>
        <w:t xml:space="preserve">• </w:t>
      </w:r>
      <w:r w:rsidRPr="00EC0AFF">
        <w:rPr>
          <w:b/>
          <w:sz w:val="22"/>
          <w:lang w:val="es-ES"/>
        </w:rPr>
        <w:t>DESADV:</w:t>
      </w:r>
      <w:r w:rsidRPr="00EC0AFF">
        <w:rPr>
          <w:sz w:val="22"/>
          <w:lang w:val="es-ES"/>
        </w:rPr>
        <w:t xml:space="preserve"> aviso de expedición o entrega.</w:t>
      </w:r>
    </w:p>
    <w:p w:rsidR="00161E0E" w:rsidRPr="00EC0AFF" w:rsidRDefault="00EC0AFF">
      <w:pPr>
        <w:pStyle w:val="T68Bullet"/>
        <w:rPr>
          <w:sz w:val="22"/>
          <w:lang w:val="es-ES"/>
        </w:rPr>
      </w:pPr>
      <w:r w:rsidRPr="00EC0AFF">
        <w:rPr>
          <w:sz w:val="22"/>
          <w:lang w:val="es-ES"/>
        </w:rPr>
        <w:t xml:space="preserve">• </w:t>
      </w:r>
      <w:r w:rsidRPr="00EC0AFF">
        <w:rPr>
          <w:b/>
          <w:sz w:val="22"/>
          <w:lang w:val="es-ES"/>
        </w:rPr>
        <w:t>RECADV:</w:t>
      </w:r>
      <w:r w:rsidRPr="00EC0AFF">
        <w:rPr>
          <w:sz w:val="22"/>
          <w:lang w:val="es-ES"/>
        </w:rPr>
        <w:t xml:space="preserve"> aviso o confirmación de recepción.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INVOIC:</w:t>
      </w:r>
      <w:r w:rsidRPr="00EC0AFF">
        <w:rPr>
          <w:sz w:val="22"/>
          <w:lang w:val="es-ES"/>
        </w:rPr>
        <w:t xml:space="preserve"> factura.</w:t>
      </w:r>
    </w:p>
    <w:p w:rsidR="00161E0E" w:rsidRPr="00EC0AFF" w:rsidRDefault="00EC0AFF">
      <w:pPr>
        <w:pStyle w:val="T68Bullet"/>
        <w:rPr>
          <w:sz w:val="22"/>
          <w:lang w:val="es-ES"/>
        </w:rPr>
      </w:pPr>
      <w:r w:rsidRPr="00EC0AFF">
        <w:rPr>
          <w:sz w:val="22"/>
          <w:lang w:val="es-ES"/>
        </w:rPr>
        <w:t xml:space="preserve">• </w:t>
      </w:r>
      <w:r w:rsidRPr="00EC0AFF">
        <w:rPr>
          <w:b/>
          <w:sz w:val="22"/>
          <w:lang w:val="es-ES"/>
        </w:rPr>
        <w:t>GENRAL:</w:t>
      </w:r>
      <w:r w:rsidRPr="00EC0AFF">
        <w:rPr>
          <w:sz w:val="22"/>
          <w:lang w:val="es-ES"/>
        </w:rPr>
        <w:t xml:space="preserve"> mensaje de propósito general, que puede utilizarse para comunicar incidencias según la implementación.</w:t>
      </w:r>
    </w:p>
    <w:p w:rsidR="00161E0E" w:rsidRPr="00EC0AFF" w:rsidRDefault="00EC0AFF">
      <w:pPr>
        <w:pStyle w:val="T68Body"/>
        <w:rPr>
          <w:sz w:val="22"/>
          <w:lang w:val="es-ES"/>
        </w:rPr>
      </w:pPr>
      <w:r w:rsidRPr="00EC0AFF">
        <w:rPr>
          <w:sz w:val="22"/>
          <w:lang w:val="es-ES"/>
        </w:rPr>
        <w:lastRenderedPageBreak/>
        <w:t>Las referencias como D96A o D93A identifican directorios/versiones concretas de EDIFACT. Son relevantes en el SAS porque sus guías EDI especifican qué directorio utiliza cada mensaje.</w:t>
      </w:r>
    </w:p>
    <w:p w:rsidR="00161E0E" w:rsidRPr="00EC0AFF" w:rsidRDefault="00EC0AFF">
      <w:pPr>
        <w:pStyle w:val="T68H2"/>
        <w:rPr>
          <w:lang w:val="es-ES"/>
        </w:rPr>
      </w:pPr>
      <w:r w:rsidRPr="00EC0AFF">
        <w:rPr>
          <w:lang w:val="es-ES"/>
        </w:rPr>
        <w:t>3.2. Otros estándares y sistemas relacionados</w:t>
      </w:r>
    </w:p>
    <w:p w:rsidR="00161E0E" w:rsidRPr="00EC0AFF" w:rsidRDefault="00EC0AFF">
      <w:pPr>
        <w:pStyle w:val="T68Bullet"/>
        <w:rPr>
          <w:sz w:val="22"/>
          <w:lang w:val="es-ES"/>
        </w:rPr>
      </w:pPr>
      <w:r w:rsidRPr="00EC0AFF">
        <w:rPr>
          <w:sz w:val="22"/>
          <w:lang w:val="es-ES"/>
        </w:rPr>
        <w:t xml:space="preserve">• </w:t>
      </w:r>
      <w:r w:rsidRPr="00EC0AFF">
        <w:rPr>
          <w:b/>
          <w:sz w:val="22"/>
          <w:lang w:val="es-ES"/>
        </w:rPr>
        <w:t>ANSI ASC X12:</w:t>
      </w:r>
      <w:r w:rsidRPr="00EC0AFF">
        <w:rPr>
          <w:sz w:val="22"/>
          <w:lang w:val="es-ES"/>
        </w:rPr>
        <w:t xml:space="preserve"> familia de estándares EDI utilizada especialmente en Norteamérica, en sectores como comercio, transporte, finanzas y salud.</w:t>
      </w:r>
    </w:p>
    <w:p w:rsidR="00161E0E" w:rsidRPr="00EC0AFF" w:rsidRDefault="00EC0AFF">
      <w:pPr>
        <w:pStyle w:val="T68Bullet"/>
        <w:rPr>
          <w:sz w:val="22"/>
          <w:lang w:val="es-ES"/>
        </w:rPr>
      </w:pPr>
      <w:r w:rsidRPr="00EC0AFF">
        <w:rPr>
          <w:sz w:val="22"/>
          <w:lang w:val="es-ES"/>
        </w:rPr>
        <w:t xml:space="preserve">• </w:t>
      </w:r>
      <w:r w:rsidRPr="00EC0AFF">
        <w:rPr>
          <w:b/>
          <w:sz w:val="22"/>
          <w:lang w:val="es-ES"/>
        </w:rPr>
        <w:t>ODETTE:</w:t>
      </w:r>
      <w:r w:rsidRPr="00EC0AFF">
        <w:rPr>
          <w:sz w:val="22"/>
          <w:lang w:val="es-ES"/>
        </w:rPr>
        <w:t xml:space="preserve"> conjunto de estándares y servicios utilizado históricamente sobre todo en la industria europea del automóvil.</w:t>
      </w:r>
    </w:p>
    <w:p w:rsidR="00161E0E" w:rsidRPr="00EC0AFF" w:rsidRDefault="00EC0AFF">
      <w:pPr>
        <w:pStyle w:val="T68Bullet"/>
        <w:rPr>
          <w:sz w:val="22"/>
          <w:lang w:val="es-ES"/>
        </w:rPr>
      </w:pPr>
      <w:r w:rsidRPr="00EC0AFF">
        <w:rPr>
          <w:sz w:val="22"/>
          <w:lang w:val="es-ES"/>
        </w:rPr>
        <w:t xml:space="preserve">• </w:t>
      </w:r>
      <w:r w:rsidRPr="00EC0AFF">
        <w:rPr>
          <w:b/>
          <w:sz w:val="22"/>
          <w:lang w:val="es-ES"/>
        </w:rPr>
        <w:t>TRADACOMS:</w:t>
      </w:r>
      <w:r w:rsidRPr="00EC0AFF">
        <w:rPr>
          <w:sz w:val="22"/>
          <w:lang w:val="es-ES"/>
        </w:rPr>
        <w:t xml:space="preserve"> estándar EDI desarrollado para el comercio minorista y muy utilizado históricamente en el Reino Unido.</w:t>
      </w:r>
    </w:p>
    <w:p w:rsidR="00161E0E" w:rsidRPr="00EC0AFF" w:rsidRDefault="00EC0AFF">
      <w:pPr>
        <w:pStyle w:val="T68Bullet"/>
        <w:rPr>
          <w:sz w:val="22"/>
          <w:lang w:val="es-ES"/>
        </w:rPr>
      </w:pPr>
      <w:r w:rsidRPr="00EC0AFF">
        <w:rPr>
          <w:sz w:val="22"/>
          <w:lang w:val="es-ES"/>
        </w:rPr>
        <w:t xml:space="preserve">• </w:t>
      </w:r>
      <w:r w:rsidRPr="00EC0AFF">
        <w:rPr>
          <w:b/>
          <w:sz w:val="22"/>
          <w:lang w:val="es-ES"/>
        </w:rPr>
        <w:t>GS1:</w:t>
      </w:r>
      <w:r w:rsidRPr="00EC0AFF">
        <w:rPr>
          <w:sz w:val="22"/>
          <w:lang w:val="es-ES"/>
        </w:rPr>
        <w:t xml:space="preserve"> sistema global de estándares para identificar, capturar y comunicar información de productos, ubicaciones y unidades logísticas. Incluye identificadores como GTIN y el uso de códigos de barras.</w:t>
      </w:r>
    </w:p>
    <w:p w:rsidR="00161E0E" w:rsidRPr="00EC0AFF" w:rsidRDefault="00EC0AFF">
      <w:pPr>
        <w:pStyle w:val="T68Bullet"/>
        <w:rPr>
          <w:sz w:val="22"/>
          <w:lang w:val="es-ES"/>
        </w:rPr>
      </w:pPr>
      <w:r w:rsidRPr="00EC0AFF">
        <w:rPr>
          <w:sz w:val="22"/>
          <w:lang w:val="es-ES"/>
        </w:rPr>
        <w:t xml:space="preserve">• </w:t>
      </w:r>
      <w:proofErr w:type="spellStart"/>
      <w:r w:rsidRPr="00EC0AFF">
        <w:rPr>
          <w:b/>
          <w:sz w:val="22"/>
          <w:lang w:val="es-ES"/>
        </w:rPr>
        <w:t>Peppol</w:t>
      </w:r>
      <w:proofErr w:type="spellEnd"/>
      <w:r w:rsidRPr="00EC0AFF">
        <w:rPr>
          <w:b/>
          <w:sz w:val="22"/>
          <w:lang w:val="es-ES"/>
        </w:rPr>
        <w:t>:</w:t>
      </w:r>
      <w:r w:rsidRPr="00EC0AFF">
        <w:rPr>
          <w:sz w:val="22"/>
          <w:lang w:val="es-ES"/>
        </w:rPr>
        <w:t xml:space="preserve"> marco de interoperabilidad y red para el intercambio estandarizado de documentos electrónicos, especialmente contratación y facturación electrónica, entre empresas y Administraciones.</w:t>
      </w:r>
    </w:p>
    <w:p w:rsidR="00161E0E" w:rsidRPr="00EC0AFF" w:rsidRDefault="00EC0AFF">
      <w:pPr>
        <w:pStyle w:val="T68Bullet"/>
        <w:rPr>
          <w:sz w:val="22"/>
          <w:lang w:val="es-ES"/>
        </w:rPr>
      </w:pPr>
      <w:r w:rsidRPr="00EC0AFF">
        <w:rPr>
          <w:sz w:val="22"/>
          <w:lang w:val="es-ES"/>
        </w:rPr>
        <w:t xml:space="preserve">• </w:t>
      </w:r>
      <w:r w:rsidRPr="00EC0AFF">
        <w:rPr>
          <w:b/>
          <w:sz w:val="22"/>
          <w:lang w:val="es-ES"/>
        </w:rPr>
        <w:t>ISO 20022:</w:t>
      </w:r>
      <w:r w:rsidRPr="00EC0AFF">
        <w:rPr>
          <w:sz w:val="22"/>
          <w:lang w:val="es-ES"/>
        </w:rPr>
        <w:t xml:space="preserve"> estándar internacional para el intercambio de mensajes en servicios financieros. Proporciona un modelo y una metodología comunes para mensajes de pagos, valores y otras transacciones financieras.</w:t>
      </w:r>
    </w:p>
    <w:p w:rsidR="00161E0E" w:rsidRPr="00EC0AFF" w:rsidRDefault="00EC0AFF">
      <w:pPr>
        <w:pStyle w:val="T68H2"/>
        <w:rPr>
          <w:lang w:val="es-ES"/>
        </w:rPr>
      </w:pPr>
      <w:r w:rsidRPr="00EC0AFF">
        <w:rPr>
          <w:lang w:val="es-ES"/>
        </w:rPr>
        <w:t>3.3. Protocolos de transporte utilizados en integraciones EDI</w:t>
      </w:r>
    </w:p>
    <w:p w:rsidR="00161E0E" w:rsidRPr="00EC0AFF" w:rsidRDefault="00EC0AFF">
      <w:pPr>
        <w:pStyle w:val="T68Bullet"/>
        <w:rPr>
          <w:sz w:val="22"/>
          <w:lang w:val="es-ES"/>
        </w:rPr>
      </w:pPr>
      <w:r w:rsidRPr="00EC0AFF">
        <w:rPr>
          <w:sz w:val="22"/>
          <w:lang w:val="es-ES"/>
        </w:rPr>
        <w:t xml:space="preserve">• </w:t>
      </w:r>
      <w:r w:rsidRPr="00EC0AFF">
        <w:rPr>
          <w:b/>
          <w:sz w:val="22"/>
          <w:lang w:val="es-ES"/>
        </w:rPr>
        <w:t>AS2 (</w:t>
      </w:r>
      <w:proofErr w:type="spellStart"/>
      <w:r w:rsidRPr="00EC0AFF">
        <w:rPr>
          <w:b/>
          <w:sz w:val="22"/>
          <w:lang w:val="es-ES"/>
        </w:rPr>
        <w:t>Applicability</w:t>
      </w:r>
      <w:proofErr w:type="spellEnd"/>
      <w:r w:rsidRPr="00EC0AFF">
        <w:rPr>
          <w:b/>
          <w:sz w:val="22"/>
          <w:lang w:val="es-ES"/>
        </w:rPr>
        <w:t xml:space="preserve"> </w:t>
      </w:r>
      <w:proofErr w:type="spellStart"/>
      <w:r w:rsidRPr="00EC0AFF">
        <w:rPr>
          <w:b/>
          <w:sz w:val="22"/>
          <w:lang w:val="es-ES"/>
        </w:rPr>
        <w:t>Statement</w:t>
      </w:r>
      <w:proofErr w:type="spellEnd"/>
      <w:r w:rsidRPr="00EC0AFF">
        <w:rPr>
          <w:b/>
          <w:sz w:val="22"/>
          <w:lang w:val="es-ES"/>
        </w:rPr>
        <w:t xml:space="preserve"> 2):</w:t>
      </w:r>
      <w:r w:rsidRPr="00EC0AFF">
        <w:rPr>
          <w:sz w:val="22"/>
          <w:lang w:val="es-ES"/>
        </w:rPr>
        <w:t xml:space="preserve"> protocolo muy utilizado en B2B/EDI para intercambiar mensajes sobre HTTP/HTTPS, con posibilidades de firma, cifrado y acuses de recibo.</w:t>
      </w:r>
    </w:p>
    <w:p w:rsidR="00161E0E" w:rsidRPr="00EC0AFF" w:rsidRDefault="00EC0AFF">
      <w:pPr>
        <w:pStyle w:val="T68Bullet"/>
        <w:rPr>
          <w:sz w:val="22"/>
          <w:lang w:val="es-ES"/>
        </w:rPr>
      </w:pPr>
      <w:r w:rsidRPr="00EC0AFF">
        <w:rPr>
          <w:sz w:val="22"/>
          <w:lang w:val="es-ES"/>
        </w:rPr>
        <w:t xml:space="preserve">• </w:t>
      </w:r>
      <w:r w:rsidRPr="00EC0AFF">
        <w:rPr>
          <w:b/>
          <w:sz w:val="22"/>
          <w:lang w:val="es-ES"/>
        </w:rPr>
        <w:t xml:space="preserve">SFTP (SSH File Transfer </w:t>
      </w:r>
      <w:proofErr w:type="spellStart"/>
      <w:r w:rsidRPr="00EC0AFF">
        <w:rPr>
          <w:b/>
          <w:sz w:val="22"/>
          <w:lang w:val="es-ES"/>
        </w:rPr>
        <w:t>Protocol</w:t>
      </w:r>
      <w:proofErr w:type="spellEnd"/>
      <w:r w:rsidRPr="00EC0AFF">
        <w:rPr>
          <w:b/>
          <w:sz w:val="22"/>
          <w:lang w:val="es-ES"/>
        </w:rPr>
        <w:t>):</w:t>
      </w:r>
      <w:r w:rsidRPr="00EC0AFF">
        <w:rPr>
          <w:sz w:val="22"/>
          <w:lang w:val="es-ES"/>
        </w:rPr>
        <w:t xml:space="preserve"> protocolo para transferencia segura de ficheros sobre SSH; frecuente en integraciones por lotes.</w:t>
      </w:r>
    </w:p>
    <w:p w:rsidR="00161E0E" w:rsidRPr="00EC0AFF" w:rsidRDefault="00EC0AFF">
      <w:pPr>
        <w:pStyle w:val="T68Bullet"/>
        <w:rPr>
          <w:sz w:val="22"/>
          <w:lang w:val="es-ES"/>
        </w:rPr>
      </w:pPr>
      <w:r w:rsidRPr="00EC0AFF">
        <w:rPr>
          <w:sz w:val="22"/>
          <w:lang w:val="es-ES"/>
        </w:rPr>
        <w:t xml:space="preserve">• </w:t>
      </w:r>
      <w:r w:rsidRPr="00EC0AFF">
        <w:rPr>
          <w:b/>
          <w:sz w:val="22"/>
          <w:lang w:val="es-ES"/>
        </w:rPr>
        <w:t>HTTPS:</w:t>
      </w:r>
      <w:r w:rsidRPr="00EC0AFF">
        <w:rPr>
          <w:sz w:val="22"/>
          <w:lang w:val="es-ES"/>
        </w:rPr>
        <w:t xml:space="preserve"> HTTP sobre TLS, base de muchas comunicaciones entre aplicaciones y </w:t>
      </w:r>
      <w:proofErr w:type="spellStart"/>
      <w:r w:rsidRPr="00EC0AFF">
        <w:rPr>
          <w:sz w:val="22"/>
          <w:lang w:val="es-ES"/>
        </w:rPr>
        <w:t>APIs</w:t>
      </w:r>
      <w:proofErr w:type="spellEnd"/>
      <w:r w:rsidRPr="00EC0AFF">
        <w:rPr>
          <w:sz w:val="22"/>
          <w:lang w:val="es-ES"/>
        </w:rPr>
        <w:t>.</w:t>
      </w:r>
    </w:p>
    <w:p w:rsidR="00161E0E" w:rsidRDefault="00EC0AFF">
      <w:pPr>
        <w:pStyle w:val="T68Bullet"/>
        <w:rPr>
          <w:sz w:val="22"/>
          <w:lang w:val="es-ES"/>
        </w:rPr>
      </w:pPr>
      <w:r w:rsidRPr="00EC0AFF">
        <w:rPr>
          <w:sz w:val="22"/>
          <w:lang w:val="es-ES"/>
        </w:rPr>
        <w:t xml:space="preserve">• </w:t>
      </w:r>
      <w:r w:rsidRPr="00EC0AFF">
        <w:rPr>
          <w:b/>
          <w:sz w:val="22"/>
          <w:lang w:val="es-ES"/>
        </w:rPr>
        <w:t>SOAP:</w:t>
      </w:r>
      <w:r w:rsidRPr="00EC0AFF">
        <w:rPr>
          <w:sz w:val="22"/>
          <w:lang w:val="es-ES"/>
        </w:rPr>
        <w:t xml:space="preserve"> protocolo de mensajería basado en XML empleado en servicios web; puede incorporar WS-Security. No debe confundirse con un formato de datos general como XML.</w:t>
      </w:r>
    </w:p>
    <w:p w:rsidR="00EC0AFF" w:rsidRPr="00EC0AFF" w:rsidRDefault="00EC0AFF">
      <w:pPr>
        <w:pStyle w:val="T68Bullet"/>
        <w:rPr>
          <w:sz w:val="22"/>
          <w:lang w:val="es-ES"/>
        </w:rPr>
      </w:pPr>
    </w:p>
    <w:p w:rsidR="00161E0E" w:rsidRPr="00EC0AFF" w:rsidRDefault="00EC0AFF" w:rsidP="00EC0AFF">
      <w:pPr>
        <w:pStyle w:val="Ttulo1"/>
        <w:rPr>
          <w:lang w:val="es-ES"/>
        </w:rPr>
      </w:pPr>
      <w:bookmarkStart w:id="4" w:name="_Toc240909668"/>
      <w:r w:rsidRPr="00EC0AFF">
        <w:rPr>
          <w:lang w:val="es-ES"/>
        </w:rPr>
        <w:t>4. XML Y OTRAS TECNOLOGÍAS DE INTERCAMBIO</w:t>
      </w:r>
      <w:bookmarkEnd w:id="4"/>
    </w:p>
    <w:p w:rsidR="00161E0E" w:rsidRPr="00EC0AFF" w:rsidRDefault="00EC0AFF">
      <w:pPr>
        <w:pStyle w:val="T68H2"/>
        <w:rPr>
          <w:lang w:val="es-ES"/>
        </w:rPr>
      </w:pPr>
      <w:r w:rsidRPr="00EC0AFF">
        <w:rPr>
          <w:lang w:val="es-ES"/>
        </w:rPr>
        <w:t xml:space="preserve">4.1. XML (Extensible </w:t>
      </w:r>
      <w:proofErr w:type="spellStart"/>
      <w:r w:rsidRPr="00EC0AFF">
        <w:rPr>
          <w:lang w:val="es-ES"/>
        </w:rPr>
        <w:t>Markup</w:t>
      </w:r>
      <w:proofErr w:type="spellEnd"/>
      <w:r w:rsidRPr="00EC0AFF">
        <w:rPr>
          <w:lang w:val="es-ES"/>
        </w:rPr>
        <w:t xml:space="preserve"> </w:t>
      </w:r>
      <w:proofErr w:type="spellStart"/>
      <w:r w:rsidRPr="00EC0AFF">
        <w:rPr>
          <w:lang w:val="es-ES"/>
        </w:rPr>
        <w:t>Language</w:t>
      </w:r>
      <w:proofErr w:type="spellEnd"/>
      <w:r w:rsidRPr="00EC0AFF">
        <w:rPr>
          <w:lang w:val="es-ES"/>
        </w:rPr>
        <w:t>)</w:t>
      </w:r>
    </w:p>
    <w:p w:rsidR="00161E0E" w:rsidRPr="00EC0AFF" w:rsidRDefault="00EC0AFF">
      <w:pPr>
        <w:pStyle w:val="T68Body"/>
        <w:rPr>
          <w:sz w:val="22"/>
          <w:lang w:val="es-ES"/>
        </w:rPr>
      </w:pPr>
      <w:r w:rsidRPr="00EC0AFF">
        <w:rPr>
          <w:sz w:val="22"/>
          <w:lang w:val="es-ES"/>
        </w:rPr>
        <w:t>XML es un lenguaje de marcado extensible derivado de SGML que permite representar información estructurada mediante elementos, atributos y una estructura jerárquica. No impone un vocabulario único: cada dominio puede definir las etiquetas y reglas que necesita.</w:t>
      </w:r>
    </w:p>
    <w:p w:rsidR="00161E0E" w:rsidRPr="00EC0AFF" w:rsidRDefault="00EC0AFF">
      <w:pPr>
        <w:pStyle w:val="T68Bullet"/>
        <w:rPr>
          <w:sz w:val="22"/>
          <w:lang w:val="es-ES"/>
        </w:rPr>
      </w:pPr>
      <w:r w:rsidRPr="00EC0AFF">
        <w:rPr>
          <w:sz w:val="22"/>
          <w:lang w:val="es-ES"/>
        </w:rPr>
        <w:t xml:space="preserve">• </w:t>
      </w:r>
      <w:r w:rsidRPr="00EC0AFF">
        <w:rPr>
          <w:b/>
          <w:sz w:val="22"/>
          <w:lang w:val="es-ES"/>
        </w:rPr>
        <w:t>Extensibilidad:</w:t>
      </w:r>
      <w:r w:rsidRPr="00EC0AFF">
        <w:rPr>
          <w:sz w:val="22"/>
          <w:lang w:val="es-ES"/>
        </w:rPr>
        <w:t xml:space="preserve"> permite crear vocabularios específicos para cada aplicación o sector.</w:t>
      </w:r>
    </w:p>
    <w:p w:rsidR="00161E0E" w:rsidRPr="00EC0AFF" w:rsidRDefault="00EC0AFF">
      <w:pPr>
        <w:pStyle w:val="T68Bullet"/>
        <w:rPr>
          <w:sz w:val="22"/>
          <w:lang w:val="es-ES"/>
        </w:rPr>
      </w:pPr>
      <w:r w:rsidRPr="00EC0AFF">
        <w:rPr>
          <w:sz w:val="22"/>
          <w:lang w:val="es-ES"/>
        </w:rPr>
        <w:t xml:space="preserve">• </w:t>
      </w:r>
      <w:r w:rsidRPr="00EC0AFF">
        <w:rPr>
          <w:b/>
          <w:sz w:val="22"/>
          <w:lang w:val="es-ES"/>
        </w:rPr>
        <w:t>Estructura:</w:t>
      </w:r>
      <w:r w:rsidRPr="00EC0AFF">
        <w:rPr>
          <w:sz w:val="22"/>
          <w:lang w:val="es-ES"/>
        </w:rPr>
        <w:t xml:space="preserve"> representa relaciones jerárquicas entre los datos y facilita el procesamiento automático.</w:t>
      </w:r>
    </w:p>
    <w:p w:rsidR="00161E0E" w:rsidRPr="00EC0AFF" w:rsidRDefault="00EC0AFF">
      <w:pPr>
        <w:pStyle w:val="T68Bullet"/>
        <w:rPr>
          <w:sz w:val="22"/>
          <w:lang w:val="es-ES"/>
        </w:rPr>
      </w:pPr>
      <w:r w:rsidRPr="00EC0AFF">
        <w:rPr>
          <w:sz w:val="22"/>
          <w:lang w:val="es-ES"/>
        </w:rPr>
        <w:t xml:space="preserve">• </w:t>
      </w:r>
      <w:r w:rsidRPr="00EC0AFF">
        <w:rPr>
          <w:b/>
          <w:sz w:val="22"/>
          <w:lang w:val="es-ES"/>
        </w:rPr>
        <w:t>Independencia de presentación:</w:t>
      </w:r>
      <w:r w:rsidRPr="00EC0AFF">
        <w:rPr>
          <w:sz w:val="22"/>
          <w:lang w:val="es-ES"/>
        </w:rPr>
        <w:t xml:space="preserve"> separa el contenido de la forma visual con la que posteriormente pueda mostrarse.</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Internacionalización:</w:t>
      </w:r>
      <w:r w:rsidRPr="00EC0AFF">
        <w:rPr>
          <w:sz w:val="22"/>
          <w:lang w:val="es-ES"/>
        </w:rPr>
        <w:t xml:space="preserve"> trabaja con Unicode y puede representar múltiples idiomas y alfabetos.</w:t>
      </w:r>
    </w:p>
    <w:p w:rsidR="00161E0E" w:rsidRPr="00EC0AFF" w:rsidRDefault="00EC0AFF">
      <w:pPr>
        <w:pStyle w:val="T68Bullet"/>
        <w:rPr>
          <w:sz w:val="22"/>
          <w:lang w:val="es-ES"/>
        </w:rPr>
      </w:pPr>
      <w:r w:rsidRPr="00EC0AFF">
        <w:rPr>
          <w:sz w:val="22"/>
          <w:lang w:val="es-ES"/>
        </w:rPr>
        <w:t xml:space="preserve">• </w:t>
      </w:r>
      <w:r w:rsidRPr="00EC0AFF">
        <w:rPr>
          <w:b/>
          <w:sz w:val="22"/>
          <w:lang w:val="es-ES"/>
        </w:rPr>
        <w:t>Validación:</w:t>
      </w:r>
      <w:r w:rsidRPr="00EC0AFF">
        <w:rPr>
          <w:sz w:val="22"/>
          <w:lang w:val="es-ES"/>
        </w:rPr>
        <w:t xml:space="preserve"> una estructura XML puede validarse mediante DTD o, de forma más completa, mediante XML </w:t>
      </w:r>
      <w:proofErr w:type="spellStart"/>
      <w:r w:rsidRPr="00EC0AFF">
        <w:rPr>
          <w:sz w:val="22"/>
          <w:lang w:val="es-ES"/>
        </w:rPr>
        <w:t>Schema</w:t>
      </w:r>
      <w:proofErr w:type="spellEnd"/>
      <w:r w:rsidRPr="00EC0AFF">
        <w:rPr>
          <w:sz w:val="22"/>
          <w:lang w:val="es-ES"/>
        </w:rPr>
        <w:t xml:space="preserve"> (XSD).</w:t>
      </w:r>
    </w:p>
    <w:p w:rsidR="00161E0E" w:rsidRPr="00EC0AFF" w:rsidRDefault="00EC0AFF">
      <w:pPr>
        <w:pStyle w:val="T68H2"/>
        <w:rPr>
          <w:lang w:val="es-ES"/>
        </w:rPr>
      </w:pPr>
      <w:r w:rsidRPr="00EC0AFF">
        <w:rPr>
          <w:lang w:val="es-ES"/>
        </w:rPr>
        <w:t xml:space="preserve">4.2. XML </w:t>
      </w:r>
      <w:proofErr w:type="spellStart"/>
      <w:r w:rsidRPr="00EC0AFF">
        <w:rPr>
          <w:lang w:val="es-ES"/>
        </w:rPr>
        <w:t>Schema</w:t>
      </w:r>
      <w:proofErr w:type="spellEnd"/>
      <w:r w:rsidRPr="00EC0AFF">
        <w:rPr>
          <w:lang w:val="es-ES"/>
        </w:rPr>
        <w:t xml:space="preserve">, </w:t>
      </w:r>
      <w:proofErr w:type="spellStart"/>
      <w:r w:rsidRPr="00EC0AFF">
        <w:rPr>
          <w:lang w:val="es-ES"/>
        </w:rPr>
        <w:t>namespaces</w:t>
      </w:r>
      <w:proofErr w:type="spellEnd"/>
      <w:r w:rsidRPr="00EC0AFF">
        <w:rPr>
          <w:lang w:val="es-ES"/>
        </w:rPr>
        <w:t xml:space="preserve"> y servicios web</w:t>
      </w:r>
    </w:p>
    <w:p w:rsidR="00161E0E" w:rsidRPr="00EC0AFF" w:rsidRDefault="00EC0AFF">
      <w:pPr>
        <w:pStyle w:val="T68Bullet"/>
        <w:rPr>
          <w:sz w:val="22"/>
          <w:lang w:val="es-ES"/>
        </w:rPr>
      </w:pPr>
      <w:r w:rsidRPr="00EC0AFF">
        <w:rPr>
          <w:sz w:val="22"/>
          <w:lang w:val="es-ES"/>
        </w:rPr>
        <w:t xml:space="preserve">• </w:t>
      </w:r>
      <w:r w:rsidRPr="00EC0AFF">
        <w:rPr>
          <w:b/>
          <w:sz w:val="22"/>
          <w:lang w:val="es-ES"/>
        </w:rPr>
        <w:t xml:space="preserve">XSD (XML </w:t>
      </w:r>
      <w:proofErr w:type="spellStart"/>
      <w:r w:rsidRPr="00EC0AFF">
        <w:rPr>
          <w:b/>
          <w:sz w:val="22"/>
          <w:lang w:val="es-ES"/>
        </w:rPr>
        <w:t>Schema</w:t>
      </w:r>
      <w:proofErr w:type="spellEnd"/>
      <w:r w:rsidRPr="00EC0AFF">
        <w:rPr>
          <w:b/>
          <w:sz w:val="22"/>
          <w:lang w:val="es-ES"/>
        </w:rPr>
        <w:t xml:space="preserve"> </w:t>
      </w:r>
      <w:proofErr w:type="spellStart"/>
      <w:r w:rsidRPr="00EC0AFF">
        <w:rPr>
          <w:b/>
          <w:sz w:val="22"/>
          <w:lang w:val="es-ES"/>
        </w:rPr>
        <w:t>Definition</w:t>
      </w:r>
      <w:proofErr w:type="spellEnd"/>
      <w:r w:rsidRPr="00EC0AFF">
        <w:rPr>
          <w:b/>
          <w:sz w:val="22"/>
          <w:lang w:val="es-ES"/>
        </w:rPr>
        <w:t>):</w:t>
      </w:r>
      <w:r w:rsidRPr="00EC0AFF">
        <w:rPr>
          <w:sz w:val="22"/>
          <w:lang w:val="es-ES"/>
        </w:rPr>
        <w:t xml:space="preserve"> define elementos, atributos, tipos de datos, </w:t>
      </w:r>
      <w:proofErr w:type="spellStart"/>
      <w:r w:rsidRPr="00EC0AFF">
        <w:rPr>
          <w:sz w:val="22"/>
          <w:lang w:val="es-ES"/>
        </w:rPr>
        <w:t>cardinalidades</w:t>
      </w:r>
      <w:proofErr w:type="spellEnd"/>
      <w:r w:rsidRPr="00EC0AFF">
        <w:rPr>
          <w:sz w:val="22"/>
          <w:lang w:val="es-ES"/>
        </w:rPr>
        <w:t xml:space="preserve"> y restricciones de un documento XML. Es fundamental en muchos esquemas de interoperabilidad administrativa.</w:t>
      </w:r>
    </w:p>
    <w:p w:rsidR="00161E0E" w:rsidRPr="00EC0AFF" w:rsidRDefault="00EC0AFF">
      <w:pPr>
        <w:pStyle w:val="T68Bullet"/>
        <w:rPr>
          <w:sz w:val="22"/>
          <w:lang w:val="es-ES"/>
        </w:rPr>
      </w:pPr>
      <w:r w:rsidRPr="00EC0AFF">
        <w:rPr>
          <w:sz w:val="22"/>
          <w:lang w:val="es-ES"/>
        </w:rPr>
        <w:t xml:space="preserve">• </w:t>
      </w:r>
      <w:proofErr w:type="spellStart"/>
      <w:r w:rsidRPr="00EC0AFF">
        <w:rPr>
          <w:b/>
          <w:sz w:val="22"/>
          <w:lang w:val="es-ES"/>
        </w:rPr>
        <w:t>Namespaces</w:t>
      </w:r>
      <w:proofErr w:type="spellEnd"/>
      <w:r w:rsidRPr="00EC0AFF">
        <w:rPr>
          <w:b/>
          <w:sz w:val="22"/>
          <w:lang w:val="es-ES"/>
        </w:rPr>
        <w:t>:</w:t>
      </w:r>
      <w:r w:rsidRPr="00EC0AFF">
        <w:rPr>
          <w:sz w:val="22"/>
          <w:lang w:val="es-ES"/>
        </w:rPr>
        <w:t xml:space="preserve"> permiten distinguir elementos con el mismo nombre procedentes de vocabularios XML distintos y evitan colisiones de nombres.</w:t>
      </w:r>
    </w:p>
    <w:p w:rsidR="00161E0E" w:rsidRPr="00EC0AFF" w:rsidRDefault="00EC0AFF">
      <w:pPr>
        <w:pStyle w:val="T68Bullet"/>
        <w:rPr>
          <w:sz w:val="22"/>
          <w:lang w:val="es-ES"/>
        </w:rPr>
      </w:pPr>
      <w:r w:rsidRPr="00EC0AFF">
        <w:rPr>
          <w:sz w:val="22"/>
          <w:lang w:val="es-ES"/>
        </w:rPr>
        <w:lastRenderedPageBreak/>
        <w:t xml:space="preserve">• </w:t>
      </w:r>
      <w:r w:rsidRPr="00EC0AFF">
        <w:rPr>
          <w:b/>
          <w:sz w:val="22"/>
          <w:lang w:val="es-ES"/>
        </w:rPr>
        <w:t>SOAP:</w:t>
      </w:r>
      <w:r w:rsidRPr="00EC0AFF">
        <w:rPr>
          <w:sz w:val="22"/>
          <w:lang w:val="es-ES"/>
        </w:rPr>
        <w:t xml:space="preserve"> utiliza XML para estructurar mensajes de solicitud y respuesta en servicios web. Puede funcionar sobre HTTP/HTTPS y emplear extensiones como WS-Security.</w:t>
      </w:r>
    </w:p>
    <w:p w:rsidR="00161E0E" w:rsidRPr="00EC0AFF" w:rsidRDefault="00EC0AFF">
      <w:pPr>
        <w:pStyle w:val="T68Bullet"/>
        <w:rPr>
          <w:sz w:val="22"/>
          <w:lang w:val="es-ES"/>
        </w:rPr>
      </w:pPr>
      <w:r w:rsidRPr="00EC0AFF">
        <w:rPr>
          <w:sz w:val="22"/>
          <w:lang w:val="es-ES"/>
        </w:rPr>
        <w:t xml:space="preserve">• </w:t>
      </w:r>
      <w:r w:rsidRPr="00EC0AFF">
        <w:rPr>
          <w:b/>
          <w:sz w:val="22"/>
          <w:lang w:val="es-ES"/>
        </w:rPr>
        <w:t>WS-Security:</w:t>
      </w:r>
      <w:r w:rsidRPr="00EC0AFF">
        <w:rPr>
          <w:sz w:val="22"/>
          <w:lang w:val="es-ES"/>
        </w:rPr>
        <w:t xml:space="preserve"> conjunto de mecanismos para aportar seguridad a mensajes SOAP, incluyendo firma y cifrado a nivel de mensaje.</w:t>
      </w:r>
    </w:p>
    <w:p w:rsidR="00161E0E" w:rsidRPr="00EC0AFF" w:rsidRDefault="00EC0AFF">
      <w:pPr>
        <w:pStyle w:val="T68H2"/>
        <w:rPr>
          <w:lang w:val="es-ES"/>
        </w:rPr>
      </w:pPr>
      <w:r w:rsidRPr="00EC0AFF">
        <w:rPr>
          <w:lang w:val="es-ES"/>
        </w:rPr>
        <w:t xml:space="preserve">4.3. JSON, REST y </w:t>
      </w:r>
      <w:proofErr w:type="spellStart"/>
      <w:r w:rsidRPr="00EC0AFF">
        <w:rPr>
          <w:lang w:val="es-ES"/>
        </w:rPr>
        <w:t>APIs</w:t>
      </w:r>
      <w:proofErr w:type="spellEnd"/>
    </w:p>
    <w:p w:rsidR="00161E0E" w:rsidRPr="00EC0AFF" w:rsidRDefault="00EC0AFF">
      <w:pPr>
        <w:pStyle w:val="T68Bullet"/>
        <w:rPr>
          <w:sz w:val="22"/>
          <w:lang w:val="es-ES"/>
        </w:rPr>
      </w:pPr>
      <w:r w:rsidRPr="00EC0AFF">
        <w:rPr>
          <w:sz w:val="22"/>
          <w:lang w:val="es-ES"/>
        </w:rPr>
        <w:t xml:space="preserve">• </w:t>
      </w:r>
      <w:r w:rsidRPr="00EC0AFF">
        <w:rPr>
          <w:b/>
          <w:sz w:val="22"/>
          <w:lang w:val="es-ES"/>
        </w:rPr>
        <w:t xml:space="preserve">JSON (JavaScript </w:t>
      </w:r>
      <w:proofErr w:type="spellStart"/>
      <w:r w:rsidRPr="00EC0AFF">
        <w:rPr>
          <w:b/>
          <w:sz w:val="22"/>
          <w:lang w:val="es-ES"/>
        </w:rPr>
        <w:t>Object</w:t>
      </w:r>
      <w:proofErr w:type="spellEnd"/>
      <w:r w:rsidRPr="00EC0AFF">
        <w:rPr>
          <w:b/>
          <w:sz w:val="22"/>
          <w:lang w:val="es-ES"/>
        </w:rPr>
        <w:t xml:space="preserve"> </w:t>
      </w:r>
      <w:proofErr w:type="spellStart"/>
      <w:r w:rsidRPr="00EC0AFF">
        <w:rPr>
          <w:b/>
          <w:sz w:val="22"/>
          <w:lang w:val="es-ES"/>
        </w:rPr>
        <w:t>Notation</w:t>
      </w:r>
      <w:proofErr w:type="spellEnd"/>
      <w:r w:rsidRPr="00EC0AFF">
        <w:rPr>
          <w:b/>
          <w:sz w:val="22"/>
          <w:lang w:val="es-ES"/>
        </w:rPr>
        <w:t>):</w:t>
      </w:r>
      <w:r w:rsidRPr="00EC0AFF">
        <w:rPr>
          <w:sz w:val="22"/>
          <w:lang w:val="es-ES"/>
        </w:rPr>
        <w:t xml:space="preserve"> formato ligero de representación de datos, muy habitual en aplicaciones web y </w:t>
      </w:r>
      <w:proofErr w:type="spellStart"/>
      <w:r w:rsidRPr="00EC0AFF">
        <w:rPr>
          <w:sz w:val="22"/>
          <w:lang w:val="es-ES"/>
        </w:rPr>
        <w:t>APIs</w:t>
      </w:r>
      <w:proofErr w:type="spellEnd"/>
      <w:r w:rsidRPr="00EC0AFF">
        <w:rPr>
          <w:sz w:val="22"/>
          <w:lang w:val="es-ES"/>
        </w:rPr>
        <w:t xml:space="preserve">. Utiliza pares nombre-valor, objetos y </w:t>
      </w:r>
      <w:proofErr w:type="spellStart"/>
      <w:r w:rsidRPr="00EC0AFF">
        <w:rPr>
          <w:sz w:val="22"/>
          <w:lang w:val="es-ES"/>
        </w:rPr>
        <w:t>arrays</w:t>
      </w:r>
      <w:proofErr w:type="spellEnd"/>
      <w:r w:rsidRPr="00EC0AFF">
        <w:rPr>
          <w:sz w:val="22"/>
          <w:lang w:val="es-ES"/>
        </w:rPr>
        <w:t>.</w:t>
      </w:r>
    </w:p>
    <w:p w:rsidR="00161E0E" w:rsidRPr="00EC0AFF" w:rsidRDefault="00EC0AFF">
      <w:pPr>
        <w:pStyle w:val="T68Bullet"/>
        <w:rPr>
          <w:sz w:val="22"/>
          <w:lang w:val="es-ES"/>
        </w:rPr>
      </w:pPr>
      <w:r w:rsidRPr="00EC0AFF">
        <w:rPr>
          <w:sz w:val="22"/>
          <w:lang w:val="es-ES"/>
        </w:rPr>
        <w:t xml:space="preserve">• </w:t>
      </w:r>
      <w:r w:rsidRPr="00EC0AFF">
        <w:rPr>
          <w:b/>
          <w:sz w:val="22"/>
          <w:lang w:val="es-ES"/>
        </w:rPr>
        <w:t>REST:</w:t>
      </w:r>
      <w:r w:rsidRPr="00EC0AFF">
        <w:rPr>
          <w:sz w:val="22"/>
          <w:lang w:val="es-ES"/>
        </w:rPr>
        <w:t xml:space="preserve"> estilo arquitectónico utilizado para diseñar servicios web orientados a recursos. Suele utilizar HTTP y JSON, aunque REST no es un formato de datos.</w:t>
      </w:r>
    </w:p>
    <w:p w:rsidR="00161E0E" w:rsidRPr="00EC0AFF" w:rsidRDefault="00EC0AFF">
      <w:pPr>
        <w:pStyle w:val="T68Bullet"/>
        <w:rPr>
          <w:sz w:val="22"/>
          <w:lang w:val="es-ES"/>
        </w:rPr>
      </w:pPr>
      <w:r w:rsidRPr="00EC0AFF">
        <w:rPr>
          <w:sz w:val="22"/>
          <w:lang w:val="es-ES"/>
        </w:rPr>
        <w:t xml:space="preserve">• </w:t>
      </w:r>
      <w:r w:rsidRPr="00EC0AFF">
        <w:rPr>
          <w:b/>
          <w:sz w:val="22"/>
          <w:lang w:val="es-ES"/>
        </w:rPr>
        <w:t>API:</w:t>
      </w:r>
      <w:r w:rsidRPr="00EC0AFF">
        <w:rPr>
          <w:sz w:val="22"/>
          <w:lang w:val="es-ES"/>
        </w:rPr>
        <w:t xml:space="preserve"> interfaz que define cómo puede una aplicación utilizar funciones o datos ofrecidos por otra. Una API puede implementar REST, SOAP u otros mecanismos.</w:t>
      </w:r>
    </w:p>
    <w:p w:rsidR="00161E0E" w:rsidRPr="00EC0AFF" w:rsidRDefault="00EC0AFF">
      <w:pPr>
        <w:pStyle w:val="T68H2"/>
        <w:rPr>
          <w:lang w:val="es-ES"/>
        </w:rPr>
      </w:pPr>
      <w:r w:rsidRPr="00EC0AFF">
        <w:rPr>
          <w:lang w:val="es-ES"/>
        </w:rPr>
        <w:t>4.4. Otros formatos y tecnologías que pueden aparecer en test</w:t>
      </w:r>
    </w:p>
    <w:p w:rsidR="00161E0E" w:rsidRPr="00EC0AFF" w:rsidRDefault="00EC0AFF">
      <w:pPr>
        <w:pStyle w:val="T68Body"/>
        <w:rPr>
          <w:sz w:val="22"/>
          <w:lang w:val="es-ES"/>
        </w:rPr>
      </w:pPr>
      <w:r w:rsidRPr="00EC0AFF">
        <w:rPr>
          <w:sz w:val="22"/>
          <w:lang w:val="es-ES"/>
        </w:rPr>
        <w:t>Aunque no todos tienen la misma importancia en EDI, conviene distinguir los siguientes conceptos porque han aparecido en preguntas de oposición: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CSV:</w:t>
      </w:r>
      <w:r w:rsidRPr="00EC0AFF">
        <w:rPr>
          <w:sz w:val="22"/>
          <w:lang w:val="es-ES"/>
        </w:rPr>
        <w:t xml:space="preserve"> formato textual sencillo para representar datos tabulares mediante valores separados por delimitadores. Es fácil de generar y procesar, pero expresa menos estructura y semántica que XML o JSON.</w:t>
      </w:r>
    </w:p>
    <w:p w:rsidR="00161E0E" w:rsidRPr="00EC0AFF" w:rsidRDefault="00EC0AFF">
      <w:pPr>
        <w:pStyle w:val="T68Bullet"/>
        <w:rPr>
          <w:sz w:val="22"/>
          <w:lang w:val="es-ES"/>
        </w:rPr>
      </w:pPr>
      <w:r w:rsidRPr="00EC0AFF">
        <w:rPr>
          <w:sz w:val="22"/>
          <w:lang w:val="es-ES"/>
        </w:rPr>
        <w:t xml:space="preserve">• </w:t>
      </w:r>
      <w:r w:rsidRPr="00EC0AFF">
        <w:rPr>
          <w:b/>
          <w:sz w:val="22"/>
          <w:lang w:val="es-ES"/>
        </w:rPr>
        <w:t>PDF:</w:t>
      </w:r>
      <w:r w:rsidRPr="00EC0AFF">
        <w:rPr>
          <w:sz w:val="22"/>
          <w:lang w:val="es-ES"/>
        </w:rPr>
        <w:t xml:space="preserve"> formato de documento destinado a preservar la apariencia del contenido independientemente del sistema o dispositivo. Es adecuado para representación documental, pero no es un formato óptimo para intercambio estructurado y procesamiento automático de datos.</w:t>
      </w:r>
    </w:p>
    <w:p w:rsidR="00161E0E" w:rsidRPr="00EC0AFF" w:rsidRDefault="00EC0AFF">
      <w:pPr>
        <w:pStyle w:val="T68Bullet"/>
        <w:rPr>
          <w:sz w:val="22"/>
          <w:lang w:val="es-ES"/>
        </w:rPr>
      </w:pPr>
      <w:r w:rsidRPr="00EC0AFF">
        <w:rPr>
          <w:sz w:val="22"/>
          <w:lang w:val="es-ES"/>
        </w:rPr>
        <w:t xml:space="preserve">• </w:t>
      </w:r>
      <w:r w:rsidRPr="00EC0AFF">
        <w:rPr>
          <w:b/>
          <w:sz w:val="22"/>
          <w:lang w:val="es-ES"/>
        </w:rPr>
        <w:t>DOC/DOCX y XLS/XLSX:</w:t>
      </w:r>
      <w:r w:rsidRPr="00EC0AFF">
        <w:rPr>
          <w:sz w:val="22"/>
          <w:lang w:val="es-ES"/>
        </w:rPr>
        <w:t xml:space="preserve"> formatos de documentos de texto y hojas de cálculo. Pueden transportar información, aunque su finalidad principal no es la integración automática entre sistemas.</w:t>
      </w:r>
    </w:p>
    <w:p w:rsidR="00161E0E" w:rsidRPr="00EC0AFF" w:rsidRDefault="00EC0AFF">
      <w:pPr>
        <w:pStyle w:val="T68Bullet"/>
        <w:rPr>
          <w:sz w:val="22"/>
          <w:lang w:val="es-ES"/>
        </w:rPr>
      </w:pPr>
      <w:r w:rsidRPr="00EC0AFF">
        <w:rPr>
          <w:sz w:val="22"/>
          <w:lang w:val="es-ES"/>
        </w:rPr>
        <w:t xml:space="preserve">• </w:t>
      </w:r>
      <w:r w:rsidRPr="00EC0AFF">
        <w:rPr>
          <w:b/>
          <w:sz w:val="22"/>
          <w:lang w:val="es-ES"/>
        </w:rPr>
        <w:t>KML/KMZ:</w:t>
      </w:r>
      <w:r w:rsidRPr="00EC0AFF">
        <w:rPr>
          <w:sz w:val="22"/>
          <w:lang w:val="es-ES"/>
        </w:rPr>
        <w:t xml:space="preserve"> KML es un lenguaje basado en XML para representar información geográfica; KMZ es una distribución comprimida. Es conocido por su utilización en herramientas como Google </w:t>
      </w:r>
      <w:proofErr w:type="spellStart"/>
      <w:r w:rsidRPr="00EC0AFF">
        <w:rPr>
          <w:sz w:val="22"/>
          <w:lang w:val="es-ES"/>
        </w:rPr>
        <w:t>Earth</w:t>
      </w:r>
      <w:proofErr w:type="spellEnd"/>
      <w:r w:rsidRPr="00EC0AFF">
        <w:rPr>
          <w:sz w:val="22"/>
          <w:lang w:val="es-ES"/>
        </w:rPr>
        <w:t>.</w:t>
      </w:r>
    </w:p>
    <w:p w:rsidR="00161E0E" w:rsidRPr="00EC0AFF" w:rsidRDefault="00EC0AFF">
      <w:pPr>
        <w:pStyle w:val="T68Bullet"/>
        <w:rPr>
          <w:sz w:val="22"/>
          <w:lang w:val="es-ES"/>
        </w:rPr>
      </w:pPr>
      <w:r w:rsidRPr="00EC0AFF">
        <w:rPr>
          <w:sz w:val="22"/>
          <w:lang w:val="es-ES"/>
        </w:rPr>
        <w:t xml:space="preserve">• </w:t>
      </w:r>
      <w:r w:rsidRPr="00EC0AFF">
        <w:rPr>
          <w:b/>
          <w:sz w:val="22"/>
          <w:lang w:val="es-ES"/>
        </w:rPr>
        <w:t>RDF:</w:t>
      </w:r>
      <w:r w:rsidRPr="00EC0AFF">
        <w:rPr>
          <w:sz w:val="22"/>
          <w:lang w:val="es-ES"/>
        </w:rPr>
        <w:t xml:space="preserve"> modelo del W3C para representar recursos y relaciones mediante triples sujeto-predicado-objeto; RDF/XML es una de sus </w:t>
      </w:r>
      <w:proofErr w:type="spellStart"/>
      <w:r w:rsidRPr="00EC0AFF">
        <w:rPr>
          <w:sz w:val="22"/>
          <w:lang w:val="es-ES"/>
        </w:rPr>
        <w:t>serializaciones</w:t>
      </w:r>
      <w:proofErr w:type="spellEnd"/>
      <w:r w:rsidRPr="00EC0AFF">
        <w:rPr>
          <w:sz w:val="22"/>
          <w:lang w:val="es-ES"/>
        </w:rPr>
        <w:t>.</w:t>
      </w:r>
    </w:p>
    <w:p w:rsidR="00161E0E" w:rsidRPr="00EC0AFF" w:rsidRDefault="00EC0AFF">
      <w:pPr>
        <w:pStyle w:val="T68Bullet"/>
        <w:rPr>
          <w:sz w:val="22"/>
          <w:lang w:val="es-ES"/>
        </w:rPr>
      </w:pPr>
      <w:r w:rsidRPr="00EC0AFF">
        <w:rPr>
          <w:sz w:val="22"/>
          <w:lang w:val="es-ES"/>
        </w:rPr>
        <w:t xml:space="preserve">• </w:t>
      </w:r>
      <w:r w:rsidRPr="00EC0AFF">
        <w:rPr>
          <w:b/>
          <w:sz w:val="22"/>
          <w:lang w:val="es-ES"/>
        </w:rPr>
        <w:t>SPARQL:</w:t>
      </w:r>
      <w:r w:rsidRPr="00EC0AFF">
        <w:rPr>
          <w:sz w:val="22"/>
          <w:lang w:val="es-ES"/>
        </w:rPr>
        <w:t xml:space="preserve"> lenguaje estándar para consultar y manipular datos RDF. No es un formato de fichero.</w:t>
      </w:r>
    </w:p>
    <w:p w:rsidR="00161E0E" w:rsidRPr="00EC0AFF" w:rsidRDefault="00EC0AFF">
      <w:pPr>
        <w:pStyle w:val="T68Bullet"/>
        <w:rPr>
          <w:sz w:val="22"/>
          <w:lang w:val="es-ES"/>
        </w:rPr>
      </w:pPr>
      <w:r w:rsidRPr="00EC0AFF">
        <w:rPr>
          <w:sz w:val="22"/>
          <w:lang w:val="es-ES"/>
        </w:rPr>
        <w:t xml:space="preserve">• </w:t>
      </w:r>
      <w:r w:rsidRPr="00EC0AFF">
        <w:rPr>
          <w:b/>
          <w:sz w:val="22"/>
          <w:lang w:val="es-ES"/>
        </w:rPr>
        <w:t>SHP (</w:t>
      </w:r>
      <w:proofErr w:type="spellStart"/>
      <w:r w:rsidRPr="00EC0AFF">
        <w:rPr>
          <w:b/>
          <w:sz w:val="22"/>
          <w:lang w:val="es-ES"/>
        </w:rPr>
        <w:t>Shapefile</w:t>
      </w:r>
      <w:proofErr w:type="spellEnd"/>
      <w:r w:rsidRPr="00EC0AFF">
        <w:rPr>
          <w:b/>
          <w:sz w:val="22"/>
          <w:lang w:val="es-ES"/>
        </w:rPr>
        <w:t>):</w:t>
      </w:r>
      <w:r w:rsidRPr="00EC0AFF">
        <w:rPr>
          <w:sz w:val="22"/>
          <w:lang w:val="es-ES"/>
        </w:rPr>
        <w:t xml:space="preserve"> formato vectorial ampliamente utilizado en sistemas de información geográfica.</w:t>
      </w:r>
    </w:p>
    <w:p w:rsidR="00161E0E" w:rsidRPr="00EC0AFF" w:rsidRDefault="00EC0AFF">
      <w:pPr>
        <w:pStyle w:val="T68Bullet"/>
        <w:rPr>
          <w:sz w:val="22"/>
          <w:lang w:val="es-ES"/>
        </w:rPr>
      </w:pPr>
      <w:r w:rsidRPr="00EC0AFF">
        <w:rPr>
          <w:sz w:val="22"/>
          <w:lang w:val="es-ES"/>
        </w:rPr>
        <w:t xml:space="preserve">• </w:t>
      </w:r>
      <w:r w:rsidRPr="00EC0AFF">
        <w:rPr>
          <w:b/>
          <w:sz w:val="22"/>
          <w:lang w:val="es-ES"/>
        </w:rPr>
        <w:t>YAML:</w:t>
      </w:r>
      <w:r w:rsidRPr="00EC0AFF">
        <w:rPr>
          <w:sz w:val="22"/>
          <w:lang w:val="es-ES"/>
        </w:rPr>
        <w:t xml:space="preserve"> formato legible de </w:t>
      </w:r>
      <w:proofErr w:type="spellStart"/>
      <w:r w:rsidRPr="00EC0AFF">
        <w:rPr>
          <w:sz w:val="22"/>
          <w:lang w:val="es-ES"/>
        </w:rPr>
        <w:t>serialización</w:t>
      </w:r>
      <w:proofErr w:type="spellEnd"/>
      <w:r w:rsidRPr="00EC0AFF">
        <w:rPr>
          <w:sz w:val="22"/>
          <w:lang w:val="es-ES"/>
        </w:rPr>
        <w:t xml:space="preserve"> de datos estructurados, habitual en configuraciones y algunas </w:t>
      </w:r>
      <w:proofErr w:type="spellStart"/>
      <w:r w:rsidRPr="00EC0AFF">
        <w:rPr>
          <w:sz w:val="22"/>
          <w:lang w:val="es-ES"/>
        </w:rPr>
        <w:t>APIs</w:t>
      </w:r>
      <w:proofErr w:type="spellEnd"/>
      <w:r w:rsidRPr="00EC0AFF">
        <w:rPr>
          <w:sz w:val="22"/>
          <w:lang w:val="es-ES"/>
        </w:rPr>
        <w:t>.</w:t>
      </w:r>
    </w:p>
    <w:p w:rsidR="00161E0E" w:rsidRPr="00EC0AFF" w:rsidRDefault="00EC0AFF">
      <w:pPr>
        <w:pStyle w:val="T68Bullet"/>
        <w:rPr>
          <w:sz w:val="22"/>
          <w:lang w:val="es-ES"/>
        </w:rPr>
      </w:pPr>
      <w:r w:rsidRPr="00EC0AFF">
        <w:rPr>
          <w:sz w:val="22"/>
          <w:lang w:val="es-ES"/>
        </w:rPr>
        <w:t xml:space="preserve">• </w:t>
      </w:r>
      <w:r w:rsidRPr="00EC0AFF">
        <w:rPr>
          <w:b/>
          <w:sz w:val="22"/>
          <w:lang w:val="es-ES"/>
        </w:rPr>
        <w:t>AJAX:</w:t>
      </w:r>
      <w:r w:rsidRPr="00EC0AFF">
        <w:rPr>
          <w:sz w:val="22"/>
          <w:lang w:val="es-ES"/>
        </w:rPr>
        <w:t xml:space="preserve"> técnica de desarrollo web para realizar comunicaciones asíncronas con el servidor sin recargar completamente una página. No es un formato de datos.</w:t>
      </w:r>
    </w:p>
    <w:p w:rsidR="00161E0E" w:rsidRDefault="00EC0AFF">
      <w:pPr>
        <w:pStyle w:val="T68Bullet"/>
        <w:rPr>
          <w:sz w:val="22"/>
          <w:lang w:val="es-ES"/>
        </w:rPr>
      </w:pPr>
      <w:r w:rsidRPr="00EC0AFF">
        <w:rPr>
          <w:sz w:val="22"/>
          <w:lang w:val="es-ES"/>
        </w:rPr>
        <w:t xml:space="preserve">• </w:t>
      </w:r>
      <w:proofErr w:type="spellStart"/>
      <w:r w:rsidRPr="00EC0AFF">
        <w:rPr>
          <w:b/>
          <w:sz w:val="22"/>
          <w:lang w:val="es-ES"/>
        </w:rPr>
        <w:t>XMLHttpRequest</w:t>
      </w:r>
      <w:proofErr w:type="spellEnd"/>
      <w:r w:rsidRPr="00EC0AFF">
        <w:rPr>
          <w:b/>
          <w:sz w:val="22"/>
          <w:lang w:val="es-ES"/>
        </w:rPr>
        <w:t>:</w:t>
      </w:r>
      <w:r w:rsidRPr="00EC0AFF">
        <w:rPr>
          <w:sz w:val="22"/>
          <w:lang w:val="es-ES"/>
        </w:rPr>
        <w:t xml:space="preserve"> API del navegador utilizada históricamente para realizar solicitudes HTTP desde JavaScript; tampoco es un formato de intercambio.</w:t>
      </w:r>
    </w:p>
    <w:p w:rsidR="00EC0AFF" w:rsidRPr="00EC0AFF" w:rsidRDefault="00EC0AFF">
      <w:pPr>
        <w:pStyle w:val="T68Bullet"/>
        <w:rPr>
          <w:sz w:val="22"/>
          <w:lang w:val="es-ES"/>
        </w:rPr>
      </w:pPr>
    </w:p>
    <w:p w:rsidR="00161E0E" w:rsidRDefault="00EC0AFF" w:rsidP="00EC0AFF">
      <w:pPr>
        <w:pStyle w:val="Ttulo1"/>
        <w:rPr>
          <w:lang w:val="es-ES"/>
        </w:rPr>
      </w:pPr>
      <w:bookmarkStart w:id="5" w:name="_Toc240909669"/>
      <w:r w:rsidRPr="00EC0AFF">
        <w:rPr>
          <w:lang w:val="es-ES"/>
        </w:rPr>
        <w:t>5. INTEROPERABILIDAD Y ESTÁNDARES EN EL ÁMBITO SANITARIO</w:t>
      </w:r>
      <w:bookmarkEnd w:id="5"/>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El intercambio sanitario exige no solo conectividad técnica, sino también que la estructura y el significado clínico de la información sean comunes. Por ello se utilizan estándares de mensajería, modelos de recursos, terminologías y formatos especializados.</w:t>
      </w:r>
    </w:p>
    <w:p w:rsidR="00161E0E" w:rsidRPr="00EC0AFF" w:rsidRDefault="00EC0AFF">
      <w:pPr>
        <w:pStyle w:val="T68H2"/>
        <w:rPr>
          <w:lang w:val="es-ES"/>
        </w:rPr>
      </w:pPr>
      <w:r w:rsidRPr="00EC0AFF">
        <w:rPr>
          <w:lang w:val="es-ES"/>
        </w:rPr>
        <w:lastRenderedPageBreak/>
        <w:t>5.1. HL7 y FHIR</w:t>
      </w:r>
    </w:p>
    <w:p w:rsidR="00161E0E" w:rsidRPr="00EC0AFF" w:rsidRDefault="00EC0AFF">
      <w:pPr>
        <w:pStyle w:val="T68Bullet"/>
        <w:rPr>
          <w:sz w:val="22"/>
          <w:lang w:val="es-ES"/>
        </w:rPr>
      </w:pPr>
      <w:r w:rsidRPr="00EC0AFF">
        <w:rPr>
          <w:sz w:val="22"/>
          <w:lang w:val="es-ES"/>
        </w:rPr>
        <w:t xml:space="preserve">• </w:t>
      </w:r>
      <w:r w:rsidRPr="00EC0AFF">
        <w:rPr>
          <w:b/>
          <w:sz w:val="22"/>
          <w:lang w:val="es-ES"/>
        </w:rPr>
        <w:t>HL7:</w:t>
      </w:r>
      <w:r w:rsidRPr="00EC0AFF">
        <w:rPr>
          <w:sz w:val="22"/>
          <w:lang w:val="es-ES"/>
        </w:rPr>
        <w:t xml:space="preserve"> familia de estándares para el intercambio de información clínica y administrativa. HL7 v2 se ha utilizado ampliamente en mensajería hospitalaria, por </w:t>
      </w:r>
      <w:proofErr w:type="gramStart"/>
      <w:r w:rsidRPr="00EC0AFF">
        <w:rPr>
          <w:sz w:val="22"/>
          <w:lang w:val="es-ES"/>
        </w:rPr>
        <w:t>ejemplo</w:t>
      </w:r>
      <w:proofErr w:type="gramEnd"/>
      <w:r w:rsidRPr="00EC0AFF">
        <w:rPr>
          <w:sz w:val="22"/>
          <w:lang w:val="es-ES"/>
        </w:rPr>
        <w:t xml:space="preserve"> para admisiones, altas, órdenes y resultados.</w:t>
      </w:r>
    </w:p>
    <w:p w:rsidR="00161E0E" w:rsidRPr="00EC0AFF" w:rsidRDefault="00EC0AFF">
      <w:pPr>
        <w:pStyle w:val="T68Bullet"/>
        <w:rPr>
          <w:sz w:val="22"/>
          <w:lang w:val="es-ES"/>
        </w:rPr>
      </w:pPr>
      <w:r w:rsidRPr="00EC0AFF">
        <w:rPr>
          <w:sz w:val="22"/>
          <w:lang w:val="es-ES"/>
        </w:rPr>
        <w:t xml:space="preserve">• </w:t>
      </w:r>
      <w:r w:rsidRPr="00EC0AFF">
        <w:rPr>
          <w:b/>
          <w:sz w:val="22"/>
          <w:lang w:val="es-ES"/>
        </w:rPr>
        <w:t>HL7 v3/CDA:</w:t>
      </w:r>
      <w:r w:rsidRPr="00EC0AFF">
        <w:rPr>
          <w:sz w:val="22"/>
          <w:lang w:val="es-ES"/>
        </w:rPr>
        <w:t xml:space="preserve"> HL7 v3 introdujo modelos más formales; CDA (</w:t>
      </w:r>
      <w:proofErr w:type="spellStart"/>
      <w:r w:rsidRPr="00EC0AFF">
        <w:rPr>
          <w:sz w:val="22"/>
          <w:lang w:val="es-ES"/>
        </w:rPr>
        <w:t>Clinical</w:t>
      </w:r>
      <w:proofErr w:type="spellEnd"/>
      <w:r w:rsidRPr="00EC0AFF">
        <w:rPr>
          <w:sz w:val="22"/>
          <w:lang w:val="es-ES"/>
        </w:rPr>
        <w:t xml:space="preserve"> </w:t>
      </w:r>
      <w:proofErr w:type="spellStart"/>
      <w:r w:rsidRPr="00EC0AFF">
        <w:rPr>
          <w:sz w:val="22"/>
          <w:lang w:val="es-ES"/>
        </w:rPr>
        <w:t>Document</w:t>
      </w:r>
      <w:proofErr w:type="spellEnd"/>
      <w:r w:rsidRPr="00EC0AFF">
        <w:rPr>
          <w:sz w:val="22"/>
          <w:lang w:val="es-ES"/>
        </w:rPr>
        <w:t xml:space="preserve"> </w:t>
      </w:r>
      <w:proofErr w:type="spellStart"/>
      <w:r w:rsidRPr="00EC0AFF">
        <w:rPr>
          <w:sz w:val="22"/>
          <w:lang w:val="es-ES"/>
        </w:rPr>
        <w:t>Architecture</w:t>
      </w:r>
      <w:proofErr w:type="spellEnd"/>
      <w:r w:rsidRPr="00EC0AFF">
        <w:rPr>
          <w:sz w:val="22"/>
          <w:lang w:val="es-ES"/>
        </w:rPr>
        <w:t>) permite representar documentos clínicos estructurados basados en XML.</w:t>
      </w:r>
    </w:p>
    <w:p w:rsidR="00161E0E" w:rsidRPr="00EC0AFF" w:rsidRDefault="00EC0AFF">
      <w:pPr>
        <w:pStyle w:val="T68Bullet"/>
        <w:rPr>
          <w:sz w:val="22"/>
          <w:lang w:val="es-ES"/>
        </w:rPr>
      </w:pPr>
      <w:r w:rsidRPr="00EC0AFF">
        <w:rPr>
          <w:sz w:val="22"/>
          <w:lang w:val="es-ES"/>
        </w:rPr>
        <w:t xml:space="preserve">• </w:t>
      </w:r>
      <w:r w:rsidRPr="00EC0AFF">
        <w:rPr>
          <w:b/>
          <w:sz w:val="22"/>
          <w:lang w:val="es-ES"/>
        </w:rPr>
        <w:t>FHIR (</w:t>
      </w:r>
      <w:proofErr w:type="spellStart"/>
      <w:r w:rsidRPr="00EC0AFF">
        <w:rPr>
          <w:b/>
          <w:sz w:val="22"/>
          <w:lang w:val="es-ES"/>
        </w:rPr>
        <w:t>Fast</w:t>
      </w:r>
      <w:proofErr w:type="spellEnd"/>
      <w:r w:rsidRPr="00EC0AFF">
        <w:rPr>
          <w:b/>
          <w:sz w:val="22"/>
          <w:lang w:val="es-ES"/>
        </w:rPr>
        <w:t xml:space="preserve"> </w:t>
      </w:r>
      <w:proofErr w:type="spellStart"/>
      <w:r w:rsidRPr="00EC0AFF">
        <w:rPr>
          <w:b/>
          <w:sz w:val="22"/>
          <w:lang w:val="es-ES"/>
        </w:rPr>
        <w:t>Healthcare</w:t>
      </w:r>
      <w:proofErr w:type="spellEnd"/>
      <w:r w:rsidRPr="00EC0AFF">
        <w:rPr>
          <w:b/>
          <w:sz w:val="22"/>
          <w:lang w:val="es-ES"/>
        </w:rPr>
        <w:t xml:space="preserve"> </w:t>
      </w:r>
      <w:proofErr w:type="spellStart"/>
      <w:r w:rsidRPr="00EC0AFF">
        <w:rPr>
          <w:b/>
          <w:sz w:val="22"/>
          <w:lang w:val="es-ES"/>
        </w:rPr>
        <w:t>Interoperability</w:t>
      </w:r>
      <w:proofErr w:type="spellEnd"/>
      <w:r w:rsidRPr="00EC0AFF">
        <w:rPr>
          <w:b/>
          <w:sz w:val="22"/>
          <w:lang w:val="es-ES"/>
        </w:rPr>
        <w:t xml:space="preserve"> </w:t>
      </w:r>
      <w:proofErr w:type="spellStart"/>
      <w:r w:rsidRPr="00EC0AFF">
        <w:rPr>
          <w:b/>
          <w:sz w:val="22"/>
          <w:lang w:val="es-ES"/>
        </w:rPr>
        <w:t>Resources</w:t>
      </w:r>
      <w:proofErr w:type="spellEnd"/>
      <w:r w:rsidRPr="00EC0AFF">
        <w:rPr>
          <w:b/>
          <w:sz w:val="22"/>
          <w:lang w:val="es-ES"/>
        </w:rPr>
        <w:t>):</w:t>
      </w:r>
      <w:r w:rsidRPr="00EC0AFF">
        <w:rPr>
          <w:sz w:val="22"/>
          <w:lang w:val="es-ES"/>
        </w:rPr>
        <w:t xml:space="preserve"> estándar moderno de HL7 que representa la información mediante recursos reutilizables y </w:t>
      </w:r>
      <w:proofErr w:type="gramStart"/>
      <w:r w:rsidRPr="00EC0AFF">
        <w:rPr>
          <w:sz w:val="22"/>
          <w:lang w:val="es-ES"/>
        </w:rPr>
        <w:t>facilita integraciones</w:t>
      </w:r>
      <w:proofErr w:type="gramEnd"/>
      <w:r w:rsidRPr="00EC0AFF">
        <w:rPr>
          <w:sz w:val="22"/>
          <w:lang w:val="es-ES"/>
        </w:rPr>
        <w:t xml:space="preserve"> mediante tecnologías web, </w:t>
      </w:r>
      <w:proofErr w:type="spellStart"/>
      <w:r w:rsidRPr="00EC0AFF">
        <w:rPr>
          <w:sz w:val="22"/>
          <w:lang w:val="es-ES"/>
        </w:rPr>
        <w:t>APIs</w:t>
      </w:r>
      <w:proofErr w:type="spellEnd"/>
      <w:r w:rsidRPr="00EC0AFF">
        <w:rPr>
          <w:sz w:val="22"/>
          <w:lang w:val="es-ES"/>
        </w:rPr>
        <w:t xml:space="preserve"> REST y formatos como JSON o XML.</w:t>
      </w:r>
    </w:p>
    <w:p w:rsidR="00161E0E" w:rsidRPr="00EC0AFF" w:rsidRDefault="00EC0AFF">
      <w:pPr>
        <w:pStyle w:val="T68H2"/>
        <w:rPr>
          <w:lang w:val="es-ES"/>
        </w:rPr>
      </w:pPr>
      <w:r w:rsidRPr="00EC0AFF">
        <w:rPr>
          <w:lang w:val="es-ES"/>
        </w:rPr>
        <w:t>5.2. DICOM, SNOMED CT y LOINC</w:t>
      </w:r>
    </w:p>
    <w:p w:rsidR="00161E0E" w:rsidRPr="00EC0AFF" w:rsidRDefault="00EC0AFF">
      <w:pPr>
        <w:pStyle w:val="T68Bullet"/>
        <w:rPr>
          <w:sz w:val="22"/>
          <w:lang w:val="es-ES"/>
        </w:rPr>
      </w:pPr>
      <w:r w:rsidRPr="00EC0AFF">
        <w:rPr>
          <w:sz w:val="22"/>
          <w:lang w:val="es-ES"/>
        </w:rPr>
        <w:t xml:space="preserve">• </w:t>
      </w:r>
      <w:r w:rsidRPr="00EC0AFF">
        <w:rPr>
          <w:b/>
          <w:sz w:val="22"/>
          <w:lang w:val="es-ES"/>
        </w:rPr>
        <w:t>DICOM:</w:t>
      </w:r>
      <w:r w:rsidRPr="00EC0AFF">
        <w:rPr>
          <w:sz w:val="22"/>
          <w:lang w:val="es-ES"/>
        </w:rPr>
        <w:t xml:space="preserve"> estándar fundamental para almacenamiento, transmisión y gestión de imágenes médicas y la información asociada, utilizado en radiología y otros entornos de imagen diagnóstica.</w:t>
      </w:r>
    </w:p>
    <w:p w:rsidR="00161E0E" w:rsidRPr="00EC0AFF" w:rsidRDefault="00EC0AFF">
      <w:pPr>
        <w:pStyle w:val="T68Bullet"/>
        <w:rPr>
          <w:sz w:val="22"/>
          <w:lang w:val="es-ES"/>
        </w:rPr>
      </w:pPr>
      <w:r w:rsidRPr="00EC0AFF">
        <w:rPr>
          <w:sz w:val="22"/>
          <w:lang w:val="es-ES"/>
        </w:rPr>
        <w:t xml:space="preserve">• </w:t>
      </w:r>
      <w:r w:rsidRPr="00EC0AFF">
        <w:rPr>
          <w:b/>
          <w:sz w:val="22"/>
          <w:lang w:val="es-ES"/>
        </w:rPr>
        <w:t>SNOMED CT:</w:t>
      </w:r>
      <w:r w:rsidRPr="00EC0AFF">
        <w:rPr>
          <w:sz w:val="22"/>
          <w:lang w:val="es-ES"/>
        </w:rPr>
        <w:t xml:space="preserve"> terminología clínica de referencia que ayuda a representar conceptos sanitarios con significado homogéneo y favorece la interoperabilidad semántica.</w:t>
      </w:r>
    </w:p>
    <w:p w:rsidR="00161E0E" w:rsidRPr="00EC0AFF" w:rsidRDefault="00EC0AFF">
      <w:pPr>
        <w:pStyle w:val="T68Bullet"/>
        <w:rPr>
          <w:sz w:val="22"/>
          <w:lang w:val="es-ES"/>
        </w:rPr>
      </w:pPr>
      <w:r w:rsidRPr="00EC0AFF">
        <w:rPr>
          <w:sz w:val="22"/>
          <w:lang w:val="es-ES"/>
        </w:rPr>
        <w:t xml:space="preserve">• </w:t>
      </w:r>
      <w:r w:rsidRPr="00EC0AFF">
        <w:rPr>
          <w:b/>
          <w:sz w:val="22"/>
          <w:lang w:val="es-ES"/>
        </w:rPr>
        <w:t>LOINC:</w:t>
      </w:r>
      <w:r w:rsidRPr="00EC0AFF">
        <w:rPr>
          <w:sz w:val="22"/>
          <w:lang w:val="es-ES"/>
        </w:rPr>
        <w:t xml:space="preserve"> sistema de códigos utilizado especialmente para identificar observaciones, pruebas y resultados de laboratorio y clínicos.</w:t>
      </w:r>
    </w:p>
    <w:p w:rsidR="00161E0E" w:rsidRDefault="00EC0AFF">
      <w:pPr>
        <w:pStyle w:val="T68Body"/>
        <w:rPr>
          <w:sz w:val="22"/>
          <w:lang w:val="es-ES"/>
        </w:rPr>
      </w:pPr>
      <w:r w:rsidRPr="00EC0AFF">
        <w:rPr>
          <w:sz w:val="22"/>
          <w:lang w:val="es-ES"/>
        </w:rPr>
        <w:t>Así, HL7/FHIR aportan estructuras y mecanismos de intercambio; DICOM se especializa en imagen; y SNOMED CT/LOINC contribuyen a que los conceptos clínicos intercambiados mantengan un significado común.</w:t>
      </w:r>
    </w:p>
    <w:p w:rsidR="00EC0AFF" w:rsidRPr="00EC0AFF" w:rsidRDefault="00EC0AFF">
      <w:pPr>
        <w:pStyle w:val="T68Body"/>
        <w:rPr>
          <w:sz w:val="22"/>
          <w:lang w:val="es-ES"/>
        </w:rPr>
      </w:pPr>
    </w:p>
    <w:p w:rsidR="00161E0E" w:rsidRDefault="00EC0AFF" w:rsidP="00EC0AFF">
      <w:pPr>
        <w:pStyle w:val="Ttulo1"/>
        <w:rPr>
          <w:lang w:val="es-ES"/>
        </w:rPr>
      </w:pPr>
      <w:bookmarkStart w:id="6" w:name="_Toc240909670"/>
      <w:r w:rsidRPr="00EC0AFF">
        <w:rPr>
          <w:lang w:val="es-ES"/>
        </w:rPr>
        <w:t>6. SUPRESIÓN DE CERTIFICADOS EN SOPORTE PAPEL (SCSP)</w:t>
      </w:r>
      <w:bookmarkEnd w:id="6"/>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SCSP es un conjunto de especificaciones orientadas a sustituir los certificados administrativos en papel por transmisiones electrónicas de datos entre Administraciones Públicas. Su objetivo es evitar que el ciudadano tenga que aportar información que ya se encuentra en poder de una Administración y permitir que el órgano tramitador la obtenga directamente de la fuente competente.</w:t>
      </w:r>
    </w:p>
    <w:p w:rsidR="00161E0E" w:rsidRPr="00EC0AFF" w:rsidRDefault="00EC0AFF">
      <w:pPr>
        <w:pStyle w:val="T68H2"/>
        <w:rPr>
          <w:lang w:val="es-ES"/>
        </w:rPr>
      </w:pPr>
      <w:r w:rsidRPr="00EC0AFF">
        <w:rPr>
          <w:lang w:val="es-ES"/>
        </w:rPr>
        <w:t>6.1. Evolución normativa</w:t>
      </w:r>
    </w:p>
    <w:p w:rsidR="00161E0E" w:rsidRPr="00EC0AFF" w:rsidRDefault="00EC0AFF">
      <w:pPr>
        <w:pStyle w:val="T68Body"/>
        <w:rPr>
          <w:sz w:val="22"/>
          <w:lang w:val="es-ES"/>
        </w:rPr>
      </w:pPr>
      <w:r w:rsidRPr="00EC0AFF">
        <w:rPr>
          <w:sz w:val="22"/>
          <w:lang w:val="es-ES"/>
        </w:rPr>
        <w:t>La Ley 11/2007 fue un antecedente esencial en el reconocimiento del derecho de la ciudadanía a relacionarse electrónicamente con las Administraciones y en el desarrollo inicial de SCSP. Para una preparación actual, sin embargo, el fundamento principal debe situarse en la normativa vigente.</w:t>
      </w:r>
    </w:p>
    <w:p w:rsidR="00161E0E" w:rsidRPr="00EC0AFF" w:rsidRDefault="00EC0AFF">
      <w:pPr>
        <w:pStyle w:val="T68Bullet"/>
        <w:rPr>
          <w:sz w:val="22"/>
          <w:lang w:val="es-ES"/>
        </w:rPr>
      </w:pPr>
      <w:r w:rsidRPr="00EC0AFF">
        <w:rPr>
          <w:sz w:val="22"/>
          <w:lang w:val="es-ES"/>
        </w:rPr>
        <w:t xml:space="preserve">• </w:t>
      </w:r>
      <w:r w:rsidRPr="00EC0AFF">
        <w:rPr>
          <w:b/>
          <w:sz w:val="22"/>
          <w:lang w:val="es-ES"/>
        </w:rPr>
        <w:t>Ley 39/2015, artículo 28:</w:t>
      </w:r>
      <w:r w:rsidRPr="00EC0AFF">
        <w:rPr>
          <w:sz w:val="22"/>
          <w:lang w:val="es-ES"/>
        </w:rPr>
        <w:t xml:space="preserve"> reconoce el derecho de los interesados a no aportar documentos que ya estén en poder de la Administración actuante o hayan sido elaborados por otra Administración. Las Administraciones deben recabarlos electrónicamente a través de sus redes corporativas, plataformas de intermediación de datos u otros sistemas habilitados.</w:t>
      </w:r>
    </w:p>
    <w:p w:rsidR="00161E0E" w:rsidRPr="00EC0AFF" w:rsidRDefault="00EC0AFF">
      <w:pPr>
        <w:pStyle w:val="T68Bullet"/>
        <w:rPr>
          <w:sz w:val="22"/>
          <w:lang w:val="es-ES"/>
        </w:rPr>
      </w:pPr>
      <w:r w:rsidRPr="00EC0AFF">
        <w:rPr>
          <w:sz w:val="22"/>
          <w:lang w:val="es-ES"/>
        </w:rPr>
        <w:t xml:space="preserve">• </w:t>
      </w:r>
      <w:r w:rsidRPr="00EC0AFF">
        <w:rPr>
          <w:b/>
          <w:sz w:val="22"/>
          <w:lang w:val="es-ES"/>
        </w:rPr>
        <w:t>Real Decreto 203/2021, artículo 62:</w:t>
      </w:r>
      <w:r w:rsidRPr="00EC0AFF">
        <w:rPr>
          <w:sz w:val="22"/>
          <w:lang w:val="es-ES"/>
        </w:rPr>
        <w:t xml:space="preserve"> regula las plataformas de intermediación de datos, exige dejar constancia de fecha y hora de la transmisión y del procedimiento, trámite o actuación, y establece la interoperabilidad de las plataformas con la plataforma estatal y entre sí.</w:t>
      </w:r>
    </w:p>
    <w:p w:rsidR="00161E0E" w:rsidRPr="00EC0AFF" w:rsidRDefault="00EC0AFF">
      <w:pPr>
        <w:pStyle w:val="T68Bullet"/>
        <w:rPr>
          <w:sz w:val="22"/>
          <w:lang w:val="es-ES"/>
        </w:rPr>
      </w:pPr>
      <w:r w:rsidRPr="00EC0AFF">
        <w:rPr>
          <w:sz w:val="22"/>
          <w:lang w:val="es-ES"/>
        </w:rPr>
        <w:t xml:space="preserve">• </w:t>
      </w:r>
      <w:r w:rsidRPr="00EC0AFF">
        <w:rPr>
          <w:b/>
          <w:sz w:val="22"/>
          <w:lang w:val="es-ES"/>
        </w:rPr>
        <w:t>Real Decreto 4/2010 (ENI):</w:t>
      </w:r>
      <w:r w:rsidRPr="00EC0AFF">
        <w:rPr>
          <w:sz w:val="22"/>
          <w:lang w:val="es-ES"/>
        </w:rPr>
        <w:t xml:space="preserve"> establece criterios y recomendaciones de interoperabilidad aplicables a los sistemas y servicios electrónicos de las Administraciones Públicas.</w:t>
      </w:r>
    </w:p>
    <w:p w:rsidR="00161E0E" w:rsidRPr="00EC0AFF" w:rsidRDefault="00EC0AFF">
      <w:pPr>
        <w:pStyle w:val="T68H2"/>
        <w:rPr>
          <w:lang w:val="es-ES"/>
        </w:rPr>
      </w:pPr>
      <w:r w:rsidRPr="00EC0AFF">
        <w:rPr>
          <w:lang w:val="es-ES"/>
        </w:rPr>
        <w:t>6.2. Funcionamiento técnico de SCSP</w:t>
      </w:r>
    </w:p>
    <w:p w:rsidR="00161E0E" w:rsidRPr="00EC0AFF" w:rsidRDefault="00EC0AFF">
      <w:pPr>
        <w:pStyle w:val="T68Body"/>
        <w:rPr>
          <w:sz w:val="22"/>
          <w:lang w:val="es-ES"/>
        </w:rPr>
      </w:pPr>
      <w:r w:rsidRPr="00EC0AFF">
        <w:rPr>
          <w:sz w:val="22"/>
          <w:lang w:val="es-ES"/>
        </w:rPr>
        <w:t>Las especificaciones SCSP utilizan mensajes estructurados y servicios web. Las versiones modernas se apoyan en esquemas XML/XSD para definir la información común y la específica de cada servicio. La versión SCSPv3 incorpora, entre otros, datos del solicitante y del procedimiento para mejorar la trazabilidad de las consultas.</w:t>
      </w:r>
    </w:p>
    <w:p w:rsidR="00161E0E" w:rsidRPr="00EC0AFF" w:rsidRDefault="00EC0AFF">
      <w:pPr>
        <w:pStyle w:val="T68Bullet"/>
        <w:rPr>
          <w:sz w:val="22"/>
          <w:lang w:val="es-ES"/>
        </w:rPr>
      </w:pPr>
      <w:r w:rsidRPr="00EC0AFF">
        <w:rPr>
          <w:sz w:val="22"/>
          <w:lang w:val="es-ES"/>
        </w:rPr>
        <w:lastRenderedPageBreak/>
        <w:t xml:space="preserve">• </w:t>
      </w:r>
      <w:r w:rsidRPr="00EC0AFF">
        <w:rPr>
          <w:b/>
          <w:sz w:val="22"/>
          <w:lang w:val="es-ES"/>
        </w:rPr>
        <w:t>Petición:</w:t>
      </w:r>
      <w:r w:rsidRPr="00EC0AFF">
        <w:rPr>
          <w:sz w:val="22"/>
          <w:lang w:val="es-ES"/>
        </w:rPr>
        <w:t xml:space="preserve"> el organismo cesionario solicita un dato necesario para un procedimiento concreto.</w:t>
      </w:r>
    </w:p>
    <w:p w:rsidR="00161E0E" w:rsidRPr="00EC0AFF" w:rsidRDefault="00EC0AFF">
      <w:pPr>
        <w:pStyle w:val="T68Bullet"/>
        <w:rPr>
          <w:sz w:val="22"/>
          <w:lang w:val="es-ES"/>
        </w:rPr>
      </w:pPr>
      <w:r w:rsidRPr="00EC0AFF">
        <w:rPr>
          <w:sz w:val="22"/>
          <w:lang w:val="es-ES"/>
        </w:rPr>
        <w:t xml:space="preserve">• </w:t>
      </w:r>
      <w:r w:rsidRPr="00EC0AFF">
        <w:rPr>
          <w:b/>
          <w:sz w:val="22"/>
          <w:lang w:val="es-ES"/>
        </w:rPr>
        <w:t>Confirmación y/o respuesta:</w:t>
      </w:r>
      <w:r w:rsidRPr="00EC0AFF">
        <w:rPr>
          <w:sz w:val="22"/>
          <w:lang w:val="es-ES"/>
        </w:rPr>
        <w:t xml:space="preserve"> el organismo cedente o la plataforma devuelve la información o el estado de la solicitud, según el servicio.</w:t>
      </w:r>
    </w:p>
    <w:p w:rsidR="00161E0E" w:rsidRPr="00EC0AFF" w:rsidRDefault="00EC0AFF">
      <w:pPr>
        <w:pStyle w:val="T68Bullet"/>
        <w:rPr>
          <w:sz w:val="22"/>
          <w:lang w:val="es-ES"/>
        </w:rPr>
      </w:pPr>
      <w:r w:rsidRPr="00EC0AFF">
        <w:rPr>
          <w:sz w:val="22"/>
          <w:lang w:val="es-ES"/>
        </w:rPr>
        <w:t xml:space="preserve">• </w:t>
      </w:r>
      <w:r w:rsidRPr="00EC0AFF">
        <w:rPr>
          <w:b/>
          <w:sz w:val="22"/>
          <w:lang w:val="es-ES"/>
        </w:rPr>
        <w:t>Solicitante/cesionario:</w:t>
      </w:r>
      <w:r w:rsidRPr="00EC0AFF">
        <w:rPr>
          <w:sz w:val="22"/>
          <w:lang w:val="es-ES"/>
        </w:rPr>
        <w:t xml:space="preserve"> Administración que necesita el dato para tramitar un procedimiento.</w:t>
      </w:r>
    </w:p>
    <w:p w:rsidR="00161E0E" w:rsidRPr="00EC0AFF" w:rsidRDefault="00EC0AFF">
      <w:pPr>
        <w:pStyle w:val="T68Bullet"/>
        <w:rPr>
          <w:sz w:val="22"/>
          <w:lang w:val="es-ES"/>
        </w:rPr>
      </w:pPr>
      <w:r w:rsidRPr="00EC0AFF">
        <w:rPr>
          <w:sz w:val="22"/>
          <w:lang w:val="es-ES"/>
        </w:rPr>
        <w:t xml:space="preserve">• </w:t>
      </w:r>
      <w:r w:rsidRPr="00EC0AFF">
        <w:rPr>
          <w:b/>
          <w:sz w:val="22"/>
          <w:lang w:val="es-ES"/>
        </w:rPr>
        <w:t>Cedente/emisor:</w:t>
      </w:r>
      <w:r w:rsidRPr="00EC0AFF">
        <w:rPr>
          <w:sz w:val="22"/>
          <w:lang w:val="es-ES"/>
        </w:rPr>
        <w:t xml:space="preserve"> organismo competente que posee o proporciona el dato.</w:t>
      </w:r>
    </w:p>
    <w:p w:rsidR="00161E0E" w:rsidRPr="00EC0AFF" w:rsidRDefault="00EC0AFF">
      <w:pPr>
        <w:pStyle w:val="T68Bullet"/>
        <w:rPr>
          <w:sz w:val="22"/>
          <w:lang w:val="es-ES"/>
        </w:rPr>
      </w:pPr>
      <w:r w:rsidRPr="00EC0AFF">
        <w:rPr>
          <w:sz w:val="22"/>
          <w:lang w:val="es-ES"/>
        </w:rPr>
        <w:t xml:space="preserve">• </w:t>
      </w:r>
      <w:r w:rsidRPr="00EC0AFF">
        <w:rPr>
          <w:b/>
          <w:sz w:val="22"/>
          <w:lang w:val="es-ES"/>
        </w:rPr>
        <w:t>Procedimiento y expediente:</w:t>
      </w:r>
      <w:r w:rsidRPr="00EC0AFF">
        <w:rPr>
          <w:sz w:val="22"/>
          <w:lang w:val="es-ES"/>
        </w:rPr>
        <w:t xml:space="preserve"> la consulta debe quedar vinculada a una finalidad administrativa concreta y trazable.</w:t>
      </w:r>
    </w:p>
    <w:p w:rsidR="00161E0E" w:rsidRPr="00EC0AFF" w:rsidRDefault="00EC0AFF">
      <w:pPr>
        <w:pStyle w:val="T68Bullet"/>
        <w:rPr>
          <w:sz w:val="22"/>
          <w:lang w:val="es-ES"/>
        </w:rPr>
      </w:pPr>
      <w:r w:rsidRPr="00EC0AFF">
        <w:rPr>
          <w:sz w:val="22"/>
          <w:lang w:val="es-ES"/>
        </w:rPr>
        <w:t xml:space="preserve">• </w:t>
      </w:r>
      <w:r w:rsidRPr="00EC0AFF">
        <w:rPr>
          <w:b/>
          <w:sz w:val="22"/>
          <w:lang w:val="es-ES"/>
        </w:rPr>
        <w:t>Seguridad:</w:t>
      </w:r>
      <w:r w:rsidRPr="00EC0AFF">
        <w:rPr>
          <w:sz w:val="22"/>
          <w:lang w:val="es-ES"/>
        </w:rPr>
        <w:t xml:space="preserve"> se emplean mecanismos de autenticación, firma, cifrado, control de acceso y registro de las transmisiones; en servicios SOAP pueden utilizarse XML </w:t>
      </w:r>
      <w:proofErr w:type="spellStart"/>
      <w:r w:rsidRPr="00EC0AFF">
        <w:rPr>
          <w:sz w:val="22"/>
          <w:lang w:val="es-ES"/>
        </w:rPr>
        <w:t>Signature</w:t>
      </w:r>
      <w:proofErr w:type="spellEnd"/>
      <w:r w:rsidRPr="00EC0AFF">
        <w:rPr>
          <w:sz w:val="22"/>
          <w:lang w:val="es-ES"/>
        </w:rPr>
        <w:t xml:space="preserve"> y WS-Security.</w:t>
      </w:r>
    </w:p>
    <w:p w:rsidR="00161E0E" w:rsidRPr="00EC0AFF" w:rsidRDefault="00EC0AFF">
      <w:pPr>
        <w:pStyle w:val="T68H2"/>
        <w:rPr>
          <w:lang w:val="es-ES"/>
        </w:rPr>
      </w:pPr>
      <w:r w:rsidRPr="00EC0AFF">
        <w:rPr>
          <w:lang w:val="es-ES"/>
        </w:rPr>
        <w:t>6.3. Plataforma de Intermediación de Datos (PID)</w:t>
      </w:r>
    </w:p>
    <w:p w:rsidR="00161E0E" w:rsidRPr="00EC0AFF" w:rsidRDefault="00EC0AFF">
      <w:pPr>
        <w:pStyle w:val="T68Body"/>
        <w:rPr>
          <w:sz w:val="22"/>
          <w:lang w:val="es-ES"/>
        </w:rPr>
      </w:pPr>
      <w:r w:rsidRPr="00EC0AFF">
        <w:rPr>
          <w:sz w:val="22"/>
          <w:lang w:val="es-ES"/>
        </w:rPr>
        <w:t>La Plataforma de Intermediación de Datos permite que una Administración verifique o consulte datos de un ciudadano en poder de otros organismos, evitando solicitar certificados acreditativos en papel. Centraliza y normaliza muchas consultas, de modo que cada organismo consumidor no tiene que crear una integración bilateral con cada organismo cedente.</w:t>
      </w:r>
    </w:p>
    <w:p w:rsidR="00161E0E" w:rsidRPr="00EC0AFF" w:rsidRDefault="00EC0AFF">
      <w:pPr>
        <w:pStyle w:val="T68Bullet"/>
        <w:rPr>
          <w:sz w:val="22"/>
          <w:lang w:val="es-ES"/>
        </w:rPr>
      </w:pPr>
      <w:r w:rsidRPr="00EC0AFF">
        <w:rPr>
          <w:sz w:val="22"/>
          <w:lang w:val="es-ES"/>
        </w:rPr>
        <w:t xml:space="preserve">• </w:t>
      </w:r>
      <w:r w:rsidRPr="00EC0AFF">
        <w:rPr>
          <w:b/>
          <w:sz w:val="22"/>
          <w:lang w:val="es-ES"/>
        </w:rPr>
        <w:t>Ejemplos habituales:</w:t>
      </w:r>
      <w:r w:rsidRPr="00EC0AFF">
        <w:rPr>
          <w:sz w:val="22"/>
          <w:lang w:val="es-ES"/>
        </w:rPr>
        <w:t xml:space="preserve"> datos de identidad y residencia, datos tributarios, Seguridad Social, titulaciones, discapacidad, familia numerosa, Catastro u otros datos incorporados al catálogo de servicios.</w:t>
      </w:r>
    </w:p>
    <w:p w:rsidR="00161E0E" w:rsidRPr="00EC0AFF" w:rsidRDefault="00EC0AFF">
      <w:pPr>
        <w:pStyle w:val="T68Bullet"/>
        <w:rPr>
          <w:sz w:val="22"/>
          <w:lang w:val="es-ES"/>
        </w:rPr>
      </w:pPr>
      <w:r w:rsidRPr="00EC0AFF">
        <w:rPr>
          <w:sz w:val="22"/>
          <w:lang w:val="es-ES"/>
        </w:rPr>
        <w:t xml:space="preserve">• </w:t>
      </w:r>
      <w:r w:rsidRPr="00EC0AFF">
        <w:rPr>
          <w:b/>
          <w:sz w:val="22"/>
          <w:lang w:val="es-ES"/>
        </w:rPr>
        <w:t>Beneficios:</w:t>
      </w:r>
      <w:r w:rsidRPr="00EC0AFF">
        <w:rPr>
          <w:sz w:val="22"/>
          <w:lang w:val="es-ES"/>
        </w:rPr>
        <w:t xml:space="preserve"> reducción de cargas, rapidez, menor fraude documental, mayor calidad del dato y aplicación práctica del principio de no aportar documentos ya disponibles.</w:t>
      </w:r>
    </w:p>
    <w:p w:rsidR="00161E0E" w:rsidRDefault="00EC0AFF">
      <w:pPr>
        <w:pStyle w:val="T68Bullet"/>
        <w:rPr>
          <w:sz w:val="22"/>
          <w:lang w:val="es-ES"/>
        </w:rPr>
      </w:pPr>
      <w:r w:rsidRPr="00EC0AFF">
        <w:rPr>
          <w:sz w:val="22"/>
          <w:lang w:val="es-ES"/>
        </w:rPr>
        <w:t xml:space="preserve">• </w:t>
      </w:r>
      <w:r w:rsidRPr="00EC0AFF">
        <w:rPr>
          <w:b/>
          <w:sz w:val="22"/>
          <w:lang w:val="es-ES"/>
        </w:rPr>
        <w:t>Trazabilidad y finalidad:</w:t>
      </w:r>
      <w:r w:rsidRPr="00EC0AFF">
        <w:rPr>
          <w:sz w:val="22"/>
          <w:lang w:val="es-ES"/>
        </w:rPr>
        <w:t xml:space="preserve"> las consultas deben quedar asociadas al procedimiento correspondiente y cumplir las condiciones de seguridad y protección de datos exigidas por el cedente.</w:t>
      </w:r>
    </w:p>
    <w:p w:rsidR="00EC0AFF" w:rsidRPr="00EC0AFF" w:rsidRDefault="00EC0AFF">
      <w:pPr>
        <w:pStyle w:val="T68Bullet"/>
        <w:rPr>
          <w:sz w:val="22"/>
          <w:lang w:val="es-ES"/>
        </w:rPr>
      </w:pPr>
    </w:p>
    <w:p w:rsidR="00161E0E" w:rsidRDefault="00EC0AFF" w:rsidP="00EC0AFF">
      <w:pPr>
        <w:pStyle w:val="Ttulo1"/>
        <w:rPr>
          <w:lang w:val="es-ES"/>
        </w:rPr>
      </w:pPr>
      <w:bookmarkStart w:id="7" w:name="_Toc240909671"/>
      <w:r w:rsidRPr="00EC0AFF">
        <w:rPr>
          <w:lang w:val="es-ES"/>
        </w:rPr>
        <w:t>7. INICIATIVAS DE LA JUNTA DE ANDALUCÍA</w:t>
      </w:r>
      <w:bookmarkEnd w:id="7"/>
    </w:p>
    <w:p w:rsidR="00EC0AFF" w:rsidRPr="00EC0AFF" w:rsidRDefault="00EC0AFF" w:rsidP="00EC0AFF">
      <w:pPr>
        <w:rPr>
          <w:lang w:val="es-ES"/>
        </w:rPr>
      </w:pPr>
    </w:p>
    <w:p w:rsidR="00161E0E" w:rsidRPr="00EC0AFF" w:rsidRDefault="00EC0AFF">
      <w:pPr>
        <w:pStyle w:val="T68H2"/>
        <w:rPr>
          <w:lang w:val="es-ES"/>
        </w:rPr>
      </w:pPr>
      <w:r w:rsidRPr="00EC0AFF">
        <w:rPr>
          <w:lang w:val="es-ES"/>
        </w:rPr>
        <w:t>7.1. Uso de SCSP e intermediación</w:t>
      </w:r>
    </w:p>
    <w:p w:rsidR="00161E0E" w:rsidRPr="00EC0AFF" w:rsidRDefault="00EC0AFF">
      <w:pPr>
        <w:pStyle w:val="T68Body"/>
        <w:rPr>
          <w:sz w:val="22"/>
          <w:lang w:val="es-ES"/>
        </w:rPr>
      </w:pPr>
      <w:r w:rsidRPr="00EC0AFF">
        <w:rPr>
          <w:sz w:val="22"/>
          <w:lang w:val="es-ES"/>
        </w:rPr>
        <w:t>La Junta de Andalucía integra servicios de verificación e intercambio de datos en sus procedimientos y sistemas de tramitación. El objetivo es que los órganos gestores consulten electrónicamente información disponible en otras Administraciones y eviten exigir certificados o copias que ya pueden obtenerse por medios interoperables.</w:t>
      </w:r>
    </w:p>
    <w:p w:rsidR="00161E0E" w:rsidRPr="00EC0AFF" w:rsidRDefault="00EC0AFF">
      <w:pPr>
        <w:pStyle w:val="T68Body"/>
        <w:rPr>
          <w:sz w:val="22"/>
          <w:lang w:val="es-ES"/>
        </w:rPr>
      </w:pPr>
      <w:r w:rsidRPr="00EC0AFF">
        <w:rPr>
          <w:sz w:val="22"/>
          <w:lang w:val="es-ES"/>
        </w:rPr>
        <w:t>El Decreto 68/2008 de la Junta de Andalucía constituyó un antecedente autonómico relevante en la supresión de determinadas obligaciones documentales, como la aportación de fotocopias de documentos identificativos o certificados de empadronamiento en determinados procedimientos. En la actualidad debe interpretarse dentro del marco general posterior de la Ley 39/2015 y de las plataformas de intermediación.</w:t>
      </w:r>
    </w:p>
    <w:p w:rsidR="00161E0E" w:rsidRPr="00EC0AFF" w:rsidRDefault="00EC0AFF">
      <w:pPr>
        <w:pStyle w:val="T68H2"/>
        <w:rPr>
          <w:lang w:val="es-ES"/>
        </w:rPr>
      </w:pPr>
      <w:r w:rsidRPr="00EC0AFF">
        <w:rPr>
          <w:lang w:val="es-ES"/>
        </w:rPr>
        <w:t>7.2. Red NEREA</w:t>
      </w:r>
    </w:p>
    <w:p w:rsidR="00161E0E" w:rsidRPr="00EC0AFF" w:rsidRDefault="00EC0AFF">
      <w:pPr>
        <w:pStyle w:val="T68Body"/>
        <w:rPr>
          <w:sz w:val="22"/>
          <w:lang w:val="es-ES"/>
        </w:rPr>
      </w:pPr>
      <w:r w:rsidRPr="00EC0AFF">
        <w:rPr>
          <w:sz w:val="22"/>
          <w:lang w:val="es-ES"/>
        </w:rPr>
        <w:t>NEREA es la Red Interadministrativa de Andalucía. Es una red privada de telecomunicaciones, aislada de las redes públicas, que interconecta telemáticamente a las Administraciones de la Comunidad Autónoma y permite compartir aplicaciones, recursos e información de forma segura.</w:t>
      </w:r>
    </w:p>
    <w:p w:rsidR="00161E0E" w:rsidRPr="00EC0AFF" w:rsidRDefault="00EC0AFF">
      <w:pPr>
        <w:pStyle w:val="T68Bullet"/>
        <w:rPr>
          <w:sz w:val="22"/>
          <w:lang w:val="es-ES"/>
        </w:rPr>
      </w:pPr>
      <w:r w:rsidRPr="00EC0AFF">
        <w:rPr>
          <w:sz w:val="22"/>
          <w:lang w:val="es-ES"/>
        </w:rPr>
        <w:t xml:space="preserve">• </w:t>
      </w:r>
      <w:r w:rsidRPr="00EC0AFF">
        <w:rPr>
          <w:b/>
          <w:sz w:val="22"/>
          <w:lang w:val="es-ES"/>
        </w:rPr>
        <w:t>Estructura:</w:t>
      </w:r>
      <w:r w:rsidRPr="00EC0AFF">
        <w:rPr>
          <w:sz w:val="22"/>
          <w:lang w:val="es-ES"/>
        </w:rPr>
        <w:t xml:space="preserve"> interconecta redes provinciales y entidades locales con la Red Corporativa de Telecomunicaciones de la Junta de Andalucía.</w:t>
      </w:r>
    </w:p>
    <w:p w:rsidR="00161E0E" w:rsidRPr="00EC0AFF" w:rsidRDefault="00EC0AFF">
      <w:pPr>
        <w:pStyle w:val="T68Bullet"/>
        <w:rPr>
          <w:sz w:val="22"/>
          <w:lang w:val="es-ES"/>
        </w:rPr>
      </w:pPr>
      <w:r w:rsidRPr="00EC0AFF">
        <w:rPr>
          <w:sz w:val="22"/>
          <w:lang w:val="es-ES"/>
        </w:rPr>
        <w:t xml:space="preserve">• </w:t>
      </w:r>
      <w:r w:rsidRPr="00EC0AFF">
        <w:rPr>
          <w:b/>
          <w:sz w:val="22"/>
          <w:lang w:val="es-ES"/>
        </w:rPr>
        <w:t>Conexión con SARA:</w:t>
      </w:r>
      <w:r w:rsidRPr="00EC0AFF">
        <w:rPr>
          <w:sz w:val="22"/>
          <w:lang w:val="es-ES"/>
        </w:rPr>
        <w:t xml:space="preserve"> el nodo central de NEREA actúa como punto de intercambio con la Red SARA, permitiendo acceder a servicios de la AGE y, a través de ella, a determinados servicios europeos.</w:t>
      </w:r>
    </w:p>
    <w:p w:rsidR="00161E0E" w:rsidRPr="00EC0AFF" w:rsidRDefault="00EC0AFF">
      <w:pPr>
        <w:pStyle w:val="T68Bullet"/>
        <w:rPr>
          <w:sz w:val="22"/>
          <w:lang w:val="es-ES"/>
        </w:rPr>
      </w:pPr>
      <w:r w:rsidRPr="00EC0AFF">
        <w:rPr>
          <w:sz w:val="22"/>
          <w:lang w:val="es-ES"/>
        </w:rPr>
        <w:t xml:space="preserve">• </w:t>
      </w:r>
      <w:r w:rsidRPr="00EC0AFF">
        <w:rPr>
          <w:b/>
          <w:sz w:val="22"/>
          <w:lang w:val="es-ES"/>
        </w:rPr>
        <w:t>Cobertura:</w:t>
      </w:r>
      <w:r w:rsidRPr="00EC0AFF">
        <w:rPr>
          <w:sz w:val="22"/>
          <w:lang w:val="es-ES"/>
        </w:rPr>
        <w:t xml:space="preserve"> la Junta indica que NEREA conecta prácticamente al 100 % de los municipios andaluces, a través de redes provinciales o mecanismos de acceso remoto.</w:t>
      </w:r>
    </w:p>
    <w:p w:rsidR="00161E0E" w:rsidRPr="00EC0AFF" w:rsidRDefault="00EC0AFF">
      <w:pPr>
        <w:pStyle w:val="T68Bullet"/>
        <w:rPr>
          <w:sz w:val="22"/>
          <w:lang w:val="es-ES"/>
        </w:rPr>
      </w:pPr>
      <w:r w:rsidRPr="00EC0AFF">
        <w:rPr>
          <w:sz w:val="22"/>
          <w:lang w:val="es-ES"/>
        </w:rPr>
        <w:lastRenderedPageBreak/>
        <w:t xml:space="preserve">• </w:t>
      </w:r>
      <w:r w:rsidRPr="00EC0AFF">
        <w:rPr>
          <w:b/>
          <w:sz w:val="22"/>
          <w:lang w:val="es-ES"/>
        </w:rPr>
        <w:t>Servicios accesibles:</w:t>
      </w:r>
      <w:r w:rsidRPr="00EC0AFF">
        <w:rPr>
          <w:sz w:val="22"/>
          <w:lang w:val="es-ES"/>
        </w:rPr>
        <w:t xml:space="preserve"> Plataforma de Intermediación de Datos, @firma, Catastro, NOTIFICA, servicios de la DGT, </w:t>
      </w:r>
      <w:proofErr w:type="spellStart"/>
      <w:r w:rsidRPr="00EC0AFF">
        <w:rPr>
          <w:sz w:val="22"/>
          <w:lang w:val="es-ES"/>
        </w:rPr>
        <w:t>FACe</w:t>
      </w:r>
      <w:proofErr w:type="spellEnd"/>
      <w:r w:rsidRPr="00EC0AFF">
        <w:rPr>
          <w:sz w:val="22"/>
          <w:lang w:val="es-ES"/>
        </w:rPr>
        <w:t xml:space="preserve"> y otros servicios publicados por las Administraciones conectadas.</w:t>
      </w:r>
    </w:p>
    <w:p w:rsidR="00161E0E" w:rsidRPr="00EC0AFF" w:rsidRDefault="00EC0AFF">
      <w:pPr>
        <w:pStyle w:val="T68Bullet"/>
        <w:rPr>
          <w:sz w:val="22"/>
          <w:lang w:val="es-ES"/>
        </w:rPr>
      </w:pPr>
      <w:r w:rsidRPr="00EC0AFF">
        <w:rPr>
          <w:sz w:val="22"/>
          <w:lang w:val="es-ES"/>
        </w:rPr>
        <w:t xml:space="preserve">• </w:t>
      </w:r>
      <w:r w:rsidRPr="00EC0AFF">
        <w:rPr>
          <w:b/>
          <w:sz w:val="22"/>
          <w:lang w:val="es-ES"/>
        </w:rPr>
        <w:t>Beneficios:</w:t>
      </w:r>
      <w:r w:rsidRPr="00EC0AFF">
        <w:rPr>
          <w:sz w:val="22"/>
          <w:lang w:val="es-ES"/>
        </w:rPr>
        <w:t xml:space="preserve"> ventanilla única, reducción de duplicidades documentales, modernización de la Administración Local y compartición segura de información.</w:t>
      </w:r>
    </w:p>
    <w:p w:rsidR="00161E0E" w:rsidRPr="00EC0AFF" w:rsidRDefault="00EC0AFF">
      <w:pPr>
        <w:pStyle w:val="T68H2"/>
        <w:rPr>
          <w:lang w:val="es-ES"/>
        </w:rPr>
      </w:pPr>
      <w:r w:rsidRPr="00EC0AFF">
        <w:rPr>
          <w:lang w:val="es-ES"/>
        </w:rPr>
        <w:t>7.3. Relación NEREA-SARA</w:t>
      </w:r>
    </w:p>
    <w:p w:rsidR="00161E0E" w:rsidRDefault="00EC0AFF">
      <w:pPr>
        <w:pStyle w:val="T68Body"/>
        <w:rPr>
          <w:sz w:val="22"/>
          <w:lang w:val="es-ES"/>
        </w:rPr>
      </w:pPr>
      <w:r w:rsidRPr="00EC0AFF">
        <w:rPr>
          <w:sz w:val="22"/>
          <w:lang w:val="es-ES"/>
        </w:rPr>
        <w:t>Conviene distinguirlas: NEREA es la red interadministrativa propia del ámbito andaluz; SARA es la infraestructura común de interconexión de las Administraciones Públicas españolas. NEREA se conecta a SARA, por lo que una entidad local andaluza puede alcanzar servicios publicados por la Junta, la AGE u otras Administraciones sin utilizar conexiones bilaterales independientes.</w:t>
      </w:r>
    </w:p>
    <w:p w:rsidR="00EC0AFF" w:rsidRPr="00EC0AFF" w:rsidRDefault="00EC0AFF">
      <w:pPr>
        <w:pStyle w:val="T68Body"/>
        <w:rPr>
          <w:sz w:val="22"/>
          <w:lang w:val="es-ES"/>
        </w:rPr>
      </w:pPr>
    </w:p>
    <w:p w:rsidR="00161E0E" w:rsidRDefault="00EC0AFF" w:rsidP="00EC0AFF">
      <w:pPr>
        <w:pStyle w:val="Ttulo1"/>
        <w:rPr>
          <w:lang w:val="es-ES"/>
        </w:rPr>
      </w:pPr>
      <w:bookmarkStart w:id="8" w:name="_Toc240909672"/>
      <w:r w:rsidRPr="00EC0AFF">
        <w:rPr>
          <w:lang w:val="es-ES"/>
        </w:rPr>
        <w:t>8. SERVICIO ANDALUZ DE SALUD: SIGLO, GS1 Y EDI</w:t>
      </w:r>
      <w:bookmarkEnd w:id="8"/>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En el Servicio Andaluz de Salud el intercambio electrónico de datos tiene una aplicación especialmente importante en compras, aprovisionamiento, logística y facturación. El portal SIGLO Empresas continúa publicando documentación para proveedores sobre SIGLO, códigos EAN/GTIN y EDI, con actualizaciones en 2026.</w:t>
      </w:r>
    </w:p>
    <w:p w:rsidR="00161E0E" w:rsidRPr="00EC0AFF" w:rsidRDefault="00EC0AFF">
      <w:pPr>
        <w:pStyle w:val="T68H2"/>
        <w:rPr>
          <w:lang w:val="es-ES"/>
        </w:rPr>
      </w:pPr>
      <w:r w:rsidRPr="00EC0AFF">
        <w:rPr>
          <w:lang w:val="es-ES"/>
        </w:rPr>
        <w:t>8.1. SIGLO</w:t>
      </w:r>
    </w:p>
    <w:p w:rsidR="00161E0E" w:rsidRPr="00EC0AFF" w:rsidRDefault="00EC0AFF">
      <w:pPr>
        <w:pStyle w:val="T68Body"/>
        <w:rPr>
          <w:sz w:val="22"/>
          <w:lang w:val="es-ES"/>
        </w:rPr>
      </w:pPr>
      <w:r w:rsidRPr="00EC0AFF">
        <w:rPr>
          <w:sz w:val="22"/>
          <w:lang w:val="es-ES"/>
        </w:rPr>
        <w:t>SIGLO es el sistema corporativo que integra la gestión de compras y logística sanitaria del SAS. Da soporte a procesos como planificación de necesidades, contratación, aprovisionamiento, recepción, almacenamiento, distribución, relación con proveedores y facturación.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SIGLO Empresas:</w:t>
      </w:r>
      <w:r w:rsidRPr="00EC0AFF">
        <w:rPr>
          <w:sz w:val="22"/>
          <w:lang w:val="es-ES"/>
        </w:rPr>
        <w:t xml:space="preserve"> entorno de relación electrónica con proveedores.</w:t>
      </w:r>
    </w:p>
    <w:p w:rsidR="00161E0E" w:rsidRPr="00EC0AFF" w:rsidRDefault="00EC0AFF">
      <w:pPr>
        <w:pStyle w:val="T68Bullet"/>
        <w:rPr>
          <w:sz w:val="22"/>
          <w:lang w:val="es-ES"/>
        </w:rPr>
      </w:pPr>
      <w:r w:rsidRPr="00EC0AFF">
        <w:rPr>
          <w:sz w:val="22"/>
          <w:lang w:val="es-ES"/>
        </w:rPr>
        <w:t xml:space="preserve">• </w:t>
      </w:r>
      <w:r w:rsidRPr="00EC0AFF">
        <w:rPr>
          <w:b/>
          <w:sz w:val="22"/>
          <w:lang w:val="es-ES"/>
        </w:rPr>
        <w:t>GS1/EAN-GTIN:</w:t>
      </w:r>
      <w:r w:rsidRPr="00EC0AFF">
        <w:rPr>
          <w:sz w:val="22"/>
          <w:lang w:val="es-ES"/>
        </w:rPr>
        <w:t xml:space="preserve"> facilita una identificación normalizada de los productos y unidades logísticas.</w:t>
      </w:r>
    </w:p>
    <w:p w:rsidR="00161E0E" w:rsidRPr="00EC0AFF" w:rsidRDefault="00EC0AFF">
      <w:pPr>
        <w:pStyle w:val="T68Bullet"/>
        <w:rPr>
          <w:sz w:val="22"/>
          <w:lang w:val="es-ES"/>
        </w:rPr>
      </w:pPr>
      <w:r w:rsidRPr="00EC0AFF">
        <w:rPr>
          <w:sz w:val="22"/>
          <w:lang w:val="es-ES"/>
        </w:rPr>
        <w:t xml:space="preserve">• </w:t>
      </w:r>
      <w:r w:rsidRPr="00EC0AFF">
        <w:rPr>
          <w:b/>
          <w:sz w:val="22"/>
          <w:lang w:val="es-ES"/>
        </w:rPr>
        <w:t>EDI:</w:t>
      </w:r>
      <w:r w:rsidRPr="00EC0AFF">
        <w:rPr>
          <w:sz w:val="22"/>
          <w:lang w:val="es-ES"/>
        </w:rPr>
        <w:t xml:space="preserve"> automatiza el intercambio de pedidos, avisos de expedición, recepciones, facturas y mensajes de incidencia.</w:t>
      </w:r>
    </w:p>
    <w:p w:rsidR="00161E0E" w:rsidRPr="00EC0AFF" w:rsidRDefault="00EC0AFF">
      <w:pPr>
        <w:pStyle w:val="T68Bullet"/>
        <w:rPr>
          <w:sz w:val="22"/>
          <w:lang w:val="es-ES"/>
        </w:rPr>
      </w:pPr>
      <w:r w:rsidRPr="00EC0AFF">
        <w:rPr>
          <w:sz w:val="22"/>
          <w:lang w:val="es-ES"/>
        </w:rPr>
        <w:t xml:space="preserve">• </w:t>
      </w:r>
      <w:r w:rsidRPr="00EC0AFF">
        <w:rPr>
          <w:b/>
          <w:sz w:val="22"/>
          <w:lang w:val="es-ES"/>
        </w:rPr>
        <w:t>Plataformas Logísticas Sanitarias:</w:t>
      </w:r>
      <w:r w:rsidRPr="00EC0AFF">
        <w:rPr>
          <w:sz w:val="22"/>
          <w:lang w:val="es-ES"/>
        </w:rPr>
        <w:t xml:space="preserve"> la centralización y normalización de la logística permite mejorar trazabilidad, control de stocks y eficiencia en la distribución.</w:t>
      </w:r>
    </w:p>
    <w:p w:rsidR="00161E0E" w:rsidRPr="00EC0AFF" w:rsidRDefault="00EC0AFF">
      <w:pPr>
        <w:pStyle w:val="T68H2"/>
        <w:rPr>
          <w:lang w:val="es-ES"/>
        </w:rPr>
      </w:pPr>
      <w:r w:rsidRPr="00EC0AFF">
        <w:rPr>
          <w:lang w:val="es-ES"/>
        </w:rPr>
        <w:t>8.2. Flujo de mensajes EDI utilizado por el SAS</w:t>
      </w:r>
    </w:p>
    <w:p w:rsidR="00161E0E" w:rsidRPr="00EC0AFF" w:rsidRDefault="00EC0AFF">
      <w:pPr>
        <w:pStyle w:val="T68Body"/>
        <w:rPr>
          <w:sz w:val="22"/>
          <w:lang w:val="es-ES"/>
        </w:rPr>
      </w:pPr>
      <w:r w:rsidRPr="00EC0AFF">
        <w:rPr>
          <w:sz w:val="22"/>
          <w:lang w:val="es-ES"/>
        </w:rPr>
        <w:t>Las guías oficiales del SAS especifican el siguiente flujo, que conviene memorizar porque ha sido preguntado en procesos selectivos:</w:t>
      </w:r>
    </w:p>
    <w:p w:rsidR="00161E0E" w:rsidRPr="00EC0AFF" w:rsidRDefault="00EC0AFF">
      <w:pPr>
        <w:pStyle w:val="T68Bullet"/>
        <w:rPr>
          <w:sz w:val="22"/>
          <w:lang w:val="es-ES"/>
        </w:rPr>
      </w:pPr>
      <w:r w:rsidRPr="00EC0AFF">
        <w:rPr>
          <w:sz w:val="22"/>
          <w:lang w:val="es-ES"/>
        </w:rPr>
        <w:t xml:space="preserve">• </w:t>
      </w:r>
      <w:r w:rsidRPr="00EC0AFF">
        <w:rPr>
          <w:b/>
          <w:sz w:val="22"/>
          <w:lang w:val="es-ES"/>
        </w:rPr>
        <w:t>1. ORDERS D96A:</w:t>
      </w:r>
      <w:r w:rsidRPr="00EC0AFF">
        <w:rPr>
          <w:sz w:val="22"/>
          <w:lang w:val="es-ES"/>
        </w:rPr>
        <w:t xml:space="preserve"> el SAS envía el pedido al proveedor.</w:t>
      </w:r>
    </w:p>
    <w:p w:rsidR="00161E0E" w:rsidRPr="00EC0AFF" w:rsidRDefault="00EC0AFF">
      <w:pPr>
        <w:pStyle w:val="T68Bullet"/>
        <w:rPr>
          <w:sz w:val="22"/>
          <w:lang w:val="es-ES"/>
        </w:rPr>
      </w:pPr>
      <w:r w:rsidRPr="00EC0AFF">
        <w:rPr>
          <w:sz w:val="22"/>
          <w:lang w:val="es-ES"/>
        </w:rPr>
        <w:t xml:space="preserve">• </w:t>
      </w:r>
      <w:r w:rsidRPr="00EC0AFF">
        <w:rPr>
          <w:b/>
          <w:sz w:val="22"/>
          <w:lang w:val="es-ES"/>
        </w:rPr>
        <w:t>2. DESADV D96A:</w:t>
      </w:r>
      <w:r w:rsidRPr="00EC0AFF">
        <w:rPr>
          <w:sz w:val="22"/>
          <w:lang w:val="es-ES"/>
        </w:rPr>
        <w:t xml:space="preserve"> el proveedor avisa de la entrega o expedición de la mercancía.</w:t>
      </w:r>
    </w:p>
    <w:p w:rsidR="00161E0E" w:rsidRPr="00EC0AFF" w:rsidRDefault="00EC0AFF">
      <w:pPr>
        <w:pStyle w:val="T68Bullet"/>
        <w:rPr>
          <w:sz w:val="22"/>
          <w:lang w:val="es-ES"/>
        </w:rPr>
      </w:pPr>
      <w:r w:rsidRPr="00EC0AFF">
        <w:rPr>
          <w:sz w:val="22"/>
          <w:lang w:val="es-ES"/>
        </w:rPr>
        <w:t xml:space="preserve">• </w:t>
      </w:r>
      <w:r w:rsidRPr="00EC0AFF">
        <w:rPr>
          <w:b/>
          <w:sz w:val="22"/>
          <w:lang w:val="es-ES"/>
        </w:rPr>
        <w:t>3. RECADV D96A:</w:t>
      </w:r>
      <w:r w:rsidRPr="00EC0AFF">
        <w:rPr>
          <w:sz w:val="22"/>
          <w:lang w:val="es-ES"/>
        </w:rPr>
        <w:t xml:space="preserve"> una vez recibida y revisada la mercancía, el SAS confirma los artículos recibidos por albarán.</w:t>
      </w:r>
    </w:p>
    <w:p w:rsidR="00161E0E" w:rsidRPr="00EC0AFF" w:rsidRDefault="00EC0AFF">
      <w:pPr>
        <w:pStyle w:val="T68Bullet"/>
        <w:rPr>
          <w:sz w:val="22"/>
          <w:lang w:val="es-ES"/>
        </w:rPr>
      </w:pPr>
      <w:r w:rsidRPr="00EC0AFF">
        <w:rPr>
          <w:sz w:val="22"/>
          <w:lang w:val="es-ES"/>
        </w:rPr>
        <w:t xml:space="preserve">• </w:t>
      </w:r>
      <w:r w:rsidRPr="00EC0AFF">
        <w:rPr>
          <w:b/>
          <w:sz w:val="22"/>
          <w:lang w:val="es-ES"/>
        </w:rPr>
        <w:t>4. INVOIC D93A:</w:t>
      </w:r>
      <w:r w:rsidRPr="00EC0AFF">
        <w:rPr>
          <w:sz w:val="22"/>
          <w:lang w:val="es-ES"/>
        </w:rPr>
        <w:t xml:space="preserve"> tras recibir el RECADV, el proveedor envía la factura de la mercancía servida.</w:t>
      </w:r>
    </w:p>
    <w:p w:rsidR="00161E0E" w:rsidRPr="00EC0AFF" w:rsidRDefault="00EC0AFF">
      <w:pPr>
        <w:pStyle w:val="T68Bullet"/>
        <w:rPr>
          <w:sz w:val="22"/>
          <w:lang w:val="es-ES"/>
        </w:rPr>
      </w:pPr>
      <w:r w:rsidRPr="00EC0AFF">
        <w:rPr>
          <w:sz w:val="22"/>
          <w:lang w:val="es-ES"/>
        </w:rPr>
        <w:t xml:space="preserve">• </w:t>
      </w:r>
      <w:r w:rsidRPr="00EC0AFF">
        <w:rPr>
          <w:b/>
          <w:sz w:val="22"/>
          <w:lang w:val="es-ES"/>
        </w:rPr>
        <w:t>5. GENRAL D96A:</w:t>
      </w:r>
      <w:r w:rsidRPr="00EC0AFF">
        <w:rPr>
          <w:sz w:val="22"/>
          <w:lang w:val="es-ES"/>
        </w:rPr>
        <w:t xml:space="preserve"> el SAS comunica incidencias relacionadas con factura o albarán mediante el mensaje general definido para este fin.</w:t>
      </w:r>
    </w:p>
    <w:p w:rsidR="00161E0E" w:rsidRPr="00EC0AFF" w:rsidRDefault="00EC0AFF">
      <w:pPr>
        <w:pStyle w:val="T68Body"/>
        <w:rPr>
          <w:sz w:val="22"/>
          <w:lang w:val="es-ES"/>
        </w:rPr>
      </w:pPr>
      <w:r w:rsidRPr="00EC0AFF">
        <w:rPr>
          <w:sz w:val="22"/>
          <w:lang w:val="es-ES"/>
        </w:rPr>
        <w:t>Este circuito permite conciliar electrónicamente pedido, expedición, recepción y factura. La automatización reduce revisiones manuales, facilita detectar discrepancias y mejora la trazabilidad de cada operación.</w:t>
      </w:r>
    </w:p>
    <w:p w:rsidR="00161E0E" w:rsidRPr="00EC0AFF" w:rsidRDefault="00EC0AFF">
      <w:pPr>
        <w:pStyle w:val="T68H2"/>
        <w:rPr>
          <w:lang w:val="es-ES"/>
        </w:rPr>
      </w:pPr>
      <w:r w:rsidRPr="00EC0AFF">
        <w:rPr>
          <w:lang w:val="es-ES"/>
        </w:rPr>
        <w:t>8.3. Otras áreas de intercambio en el SAS</w:t>
      </w:r>
    </w:p>
    <w:p w:rsidR="00161E0E" w:rsidRPr="00EC0AFF" w:rsidRDefault="00EC0AFF">
      <w:pPr>
        <w:pStyle w:val="T68Bullet"/>
        <w:rPr>
          <w:sz w:val="22"/>
          <w:lang w:val="es-ES"/>
        </w:rPr>
      </w:pPr>
      <w:r w:rsidRPr="00EC0AFF">
        <w:rPr>
          <w:sz w:val="22"/>
          <w:lang w:val="es-ES"/>
        </w:rPr>
        <w:t xml:space="preserve">• </w:t>
      </w:r>
      <w:r w:rsidRPr="00EC0AFF">
        <w:rPr>
          <w:b/>
          <w:sz w:val="22"/>
          <w:lang w:val="es-ES"/>
        </w:rPr>
        <w:t>Historia clínica y continuidad asistencial:</w:t>
      </w:r>
      <w:r w:rsidRPr="00EC0AFF">
        <w:rPr>
          <w:sz w:val="22"/>
          <w:lang w:val="es-ES"/>
        </w:rPr>
        <w:t xml:space="preserve"> intercambio de información clínica entre centros y niveles asistenciales.</w:t>
      </w:r>
    </w:p>
    <w:p w:rsidR="00161E0E" w:rsidRPr="00EC0AFF" w:rsidRDefault="00EC0AFF">
      <w:pPr>
        <w:pStyle w:val="T68Bullet"/>
        <w:rPr>
          <w:sz w:val="22"/>
          <w:lang w:val="es-ES"/>
        </w:rPr>
      </w:pPr>
      <w:r w:rsidRPr="00EC0AFF">
        <w:rPr>
          <w:sz w:val="22"/>
          <w:lang w:val="es-ES"/>
        </w:rPr>
        <w:t xml:space="preserve">• </w:t>
      </w:r>
      <w:r w:rsidRPr="00EC0AFF">
        <w:rPr>
          <w:b/>
          <w:sz w:val="22"/>
          <w:lang w:val="es-ES"/>
        </w:rPr>
        <w:t>Prescripción y receta electrónica:</w:t>
      </w:r>
      <w:r w:rsidRPr="00EC0AFF">
        <w:rPr>
          <w:sz w:val="22"/>
          <w:lang w:val="es-ES"/>
        </w:rPr>
        <w:t xml:space="preserve"> comunicación entre sistemas de prescripción, dispensación y oficinas de farmacia.</w:t>
      </w:r>
    </w:p>
    <w:p w:rsidR="00161E0E" w:rsidRPr="00EC0AFF" w:rsidRDefault="00EC0AFF">
      <w:pPr>
        <w:pStyle w:val="T68Bullet"/>
        <w:rPr>
          <w:sz w:val="22"/>
          <w:lang w:val="es-ES"/>
        </w:rPr>
      </w:pPr>
      <w:r w:rsidRPr="00EC0AFF">
        <w:rPr>
          <w:sz w:val="22"/>
          <w:lang w:val="es-ES"/>
        </w:rPr>
        <w:t xml:space="preserve">• </w:t>
      </w:r>
      <w:r w:rsidRPr="00EC0AFF">
        <w:rPr>
          <w:b/>
          <w:sz w:val="22"/>
          <w:lang w:val="es-ES"/>
        </w:rPr>
        <w:t>Laboratorio y pruebas diagnósticas:</w:t>
      </w:r>
      <w:r w:rsidRPr="00EC0AFF">
        <w:rPr>
          <w:sz w:val="22"/>
          <w:lang w:val="es-ES"/>
        </w:rPr>
        <w:t xml:space="preserve"> solicitudes y resultados integrados electrónicamente.</w:t>
      </w:r>
    </w:p>
    <w:p w:rsidR="00161E0E" w:rsidRPr="00EC0AFF" w:rsidRDefault="00EC0AFF">
      <w:pPr>
        <w:pStyle w:val="T68Bullet"/>
        <w:rPr>
          <w:sz w:val="22"/>
          <w:lang w:val="es-ES"/>
        </w:rPr>
      </w:pPr>
      <w:r w:rsidRPr="00EC0AFF">
        <w:rPr>
          <w:sz w:val="22"/>
          <w:lang w:val="es-ES"/>
        </w:rPr>
        <w:lastRenderedPageBreak/>
        <w:t xml:space="preserve">• </w:t>
      </w:r>
      <w:r w:rsidRPr="00EC0AFF">
        <w:rPr>
          <w:b/>
          <w:sz w:val="22"/>
          <w:lang w:val="es-ES"/>
        </w:rPr>
        <w:t>Imagen médica:</w:t>
      </w:r>
      <w:r w:rsidRPr="00EC0AFF">
        <w:rPr>
          <w:sz w:val="22"/>
          <w:lang w:val="es-ES"/>
        </w:rPr>
        <w:t xml:space="preserve"> intercambio de estudios y metadatos mediante estándares específicos como DICOM.</w:t>
      </w:r>
    </w:p>
    <w:p w:rsidR="00161E0E" w:rsidRDefault="00EC0AFF">
      <w:pPr>
        <w:pStyle w:val="T68Bullet"/>
        <w:rPr>
          <w:sz w:val="22"/>
          <w:lang w:val="es-ES"/>
        </w:rPr>
      </w:pPr>
      <w:r w:rsidRPr="00EC0AFF">
        <w:rPr>
          <w:sz w:val="22"/>
          <w:lang w:val="es-ES"/>
        </w:rPr>
        <w:t xml:space="preserve">• </w:t>
      </w:r>
      <w:r w:rsidRPr="00EC0AFF">
        <w:rPr>
          <w:b/>
          <w:sz w:val="22"/>
          <w:lang w:val="es-ES"/>
        </w:rPr>
        <w:t>Interoperabilidad nacional y europea:</w:t>
      </w:r>
      <w:r w:rsidRPr="00EC0AFF">
        <w:rPr>
          <w:sz w:val="22"/>
          <w:lang w:val="es-ES"/>
        </w:rPr>
        <w:t xml:space="preserve"> participación en servicios comunes del SNS y en servicios sanitarios transfronterizos.</w:t>
      </w:r>
    </w:p>
    <w:p w:rsidR="00EC0AFF" w:rsidRPr="00EC0AFF" w:rsidRDefault="00EC0AFF">
      <w:pPr>
        <w:pStyle w:val="T68Bullet"/>
        <w:rPr>
          <w:sz w:val="22"/>
          <w:lang w:val="es-ES"/>
        </w:rPr>
      </w:pPr>
    </w:p>
    <w:p w:rsidR="00161E0E" w:rsidRDefault="00EC0AFF" w:rsidP="00EC0AFF">
      <w:pPr>
        <w:pStyle w:val="Ttulo1"/>
        <w:rPr>
          <w:lang w:val="es-ES"/>
        </w:rPr>
      </w:pPr>
      <w:bookmarkStart w:id="9" w:name="_Toc240909673"/>
      <w:r w:rsidRPr="00EC0AFF">
        <w:rPr>
          <w:lang w:val="es-ES"/>
        </w:rPr>
        <w:t>9. RED SARA</w:t>
      </w:r>
      <w:bookmarkEnd w:id="9"/>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La Red SARA (Sistemas de Aplicaciones y Redes para las Administraciones) es el conjunto de infraestructuras de comunicaciones y servicios básicos que conecta las redes de las Administraciones Públicas españolas y facilita la conexión con instituciones europeas. Su finalidad es proporcionar un entorno común y seguro para intercambiar información y acceder a servicios compartidos de administración electrónica.</w:t>
      </w:r>
    </w:p>
    <w:p w:rsidR="00161E0E" w:rsidRPr="00EC0AFF" w:rsidRDefault="00EC0AFF">
      <w:pPr>
        <w:pStyle w:val="T68H2"/>
        <w:rPr>
          <w:lang w:val="es-ES"/>
        </w:rPr>
      </w:pPr>
      <w:r w:rsidRPr="00EC0AFF">
        <w:rPr>
          <w:lang w:val="es-ES"/>
        </w:rPr>
        <w:t>9.1. Marco y características</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Interoperabilidad:</w:t>
      </w:r>
      <w:r w:rsidRPr="00EC0AFF">
        <w:rPr>
          <w:sz w:val="22"/>
          <w:lang w:val="es-ES"/>
        </w:rPr>
        <w:t xml:space="preserve"> permite que AGE, comunidades autónomas, entidades locales y otros organismos intercambien información utilizando una infraestructura común.</w:t>
      </w:r>
    </w:p>
    <w:p w:rsidR="00161E0E" w:rsidRPr="00EC0AFF" w:rsidRDefault="00EC0AFF">
      <w:pPr>
        <w:pStyle w:val="T68Bullet"/>
        <w:rPr>
          <w:sz w:val="22"/>
          <w:lang w:val="es-ES"/>
        </w:rPr>
      </w:pPr>
      <w:r w:rsidRPr="00EC0AFF">
        <w:rPr>
          <w:sz w:val="22"/>
          <w:lang w:val="es-ES"/>
        </w:rPr>
        <w:t xml:space="preserve">• </w:t>
      </w:r>
      <w:r w:rsidRPr="00EC0AFF">
        <w:rPr>
          <w:b/>
          <w:sz w:val="22"/>
          <w:lang w:val="es-ES"/>
        </w:rPr>
        <w:t>Seguridad:</w:t>
      </w:r>
      <w:r w:rsidRPr="00EC0AFF">
        <w:rPr>
          <w:sz w:val="22"/>
          <w:lang w:val="es-ES"/>
        </w:rPr>
        <w:t xml:space="preserve"> el tráfico se protege y la red incorpora mecanismos de monitorización y alerta ante incidentes.</w:t>
      </w:r>
    </w:p>
    <w:p w:rsidR="00161E0E" w:rsidRPr="00EC0AFF" w:rsidRDefault="00EC0AFF">
      <w:pPr>
        <w:pStyle w:val="T68Bullet"/>
        <w:rPr>
          <w:sz w:val="22"/>
          <w:lang w:val="es-ES"/>
        </w:rPr>
      </w:pPr>
      <w:r w:rsidRPr="00EC0AFF">
        <w:rPr>
          <w:sz w:val="22"/>
          <w:lang w:val="es-ES"/>
        </w:rPr>
        <w:t xml:space="preserve">• </w:t>
      </w:r>
      <w:r w:rsidRPr="00EC0AFF">
        <w:rPr>
          <w:b/>
          <w:sz w:val="22"/>
          <w:lang w:val="es-ES"/>
        </w:rPr>
        <w:t>Fiabilidad:</w:t>
      </w:r>
      <w:r w:rsidRPr="00EC0AFF">
        <w:rPr>
          <w:sz w:val="22"/>
          <w:lang w:val="es-ES"/>
        </w:rPr>
        <w:t xml:space="preserve"> está diseñada con redundancia y ausencia de puntos únicos de fallo, con soporte continuado.</w:t>
      </w:r>
    </w:p>
    <w:p w:rsidR="00161E0E" w:rsidRPr="00EC0AFF" w:rsidRDefault="00EC0AFF">
      <w:pPr>
        <w:pStyle w:val="T68Bullet"/>
        <w:rPr>
          <w:sz w:val="22"/>
          <w:lang w:val="es-ES"/>
        </w:rPr>
      </w:pPr>
      <w:r w:rsidRPr="00EC0AFF">
        <w:rPr>
          <w:sz w:val="22"/>
          <w:lang w:val="es-ES"/>
        </w:rPr>
        <w:t xml:space="preserve">• </w:t>
      </w:r>
      <w:r w:rsidRPr="00EC0AFF">
        <w:rPr>
          <w:b/>
          <w:sz w:val="22"/>
          <w:lang w:val="es-ES"/>
        </w:rPr>
        <w:t>Calidad de servicio:</w:t>
      </w:r>
      <w:r w:rsidRPr="00EC0AFF">
        <w:rPr>
          <w:sz w:val="22"/>
          <w:lang w:val="es-ES"/>
        </w:rPr>
        <w:t xml:space="preserve"> permite tratar el tráfico en función de su naturaleza y necesidades.</w:t>
      </w:r>
    </w:p>
    <w:p w:rsidR="00161E0E" w:rsidRPr="00EC0AFF" w:rsidRDefault="00EC0AFF">
      <w:pPr>
        <w:pStyle w:val="T68Bullet"/>
        <w:rPr>
          <w:sz w:val="22"/>
          <w:lang w:val="es-ES"/>
        </w:rPr>
      </w:pPr>
      <w:r w:rsidRPr="00EC0AFF">
        <w:rPr>
          <w:sz w:val="22"/>
          <w:lang w:val="es-ES"/>
        </w:rPr>
        <w:t xml:space="preserve">• </w:t>
      </w:r>
      <w:r w:rsidRPr="00EC0AFF">
        <w:rPr>
          <w:b/>
          <w:sz w:val="22"/>
          <w:lang w:val="es-ES"/>
        </w:rPr>
        <w:t>IPv6:</w:t>
      </w:r>
      <w:r w:rsidRPr="00EC0AFF">
        <w:rPr>
          <w:sz w:val="22"/>
          <w:lang w:val="es-ES"/>
        </w:rPr>
        <w:t xml:space="preserve"> incorpora soporte e interconexión IPv6 dentro de la evolución de las redes administrativas.</w:t>
      </w:r>
    </w:p>
    <w:p w:rsidR="00161E0E" w:rsidRPr="00EC0AFF" w:rsidRDefault="00EC0AFF">
      <w:pPr>
        <w:pStyle w:val="T68Body"/>
        <w:rPr>
          <w:sz w:val="22"/>
          <w:lang w:val="es-ES"/>
        </w:rPr>
      </w:pPr>
      <w:r w:rsidRPr="00EC0AFF">
        <w:rPr>
          <w:sz w:val="22"/>
          <w:lang w:val="es-ES"/>
        </w:rPr>
        <w:t>La información oficial del Portal de Administración Electrónica ha publicado como características de SARA una red mallada, tráfico cifrado, soporte 24x7x365 y capacidades concretas de conexión. Para el examen es más importante comprender su función de infraestructura común que memorizar cifras de ancho de banda susceptibles de evolucionar.</w:t>
      </w:r>
    </w:p>
    <w:p w:rsidR="00161E0E" w:rsidRPr="00EC0AFF" w:rsidRDefault="00EC0AFF">
      <w:pPr>
        <w:pStyle w:val="T68H2"/>
        <w:rPr>
          <w:lang w:val="es-ES"/>
        </w:rPr>
      </w:pPr>
      <w:r w:rsidRPr="00EC0AFF">
        <w:rPr>
          <w:lang w:val="es-ES"/>
        </w:rPr>
        <w:t>9.2. Servicios accesibles a través de SARA</w:t>
      </w:r>
    </w:p>
    <w:p w:rsidR="00161E0E" w:rsidRPr="00EC0AFF" w:rsidRDefault="00EC0AFF">
      <w:pPr>
        <w:pStyle w:val="T68Body"/>
        <w:rPr>
          <w:sz w:val="22"/>
          <w:lang w:val="es-ES"/>
        </w:rPr>
      </w:pPr>
      <w:r w:rsidRPr="00EC0AFF">
        <w:rPr>
          <w:sz w:val="22"/>
          <w:lang w:val="es-ES"/>
        </w:rPr>
        <w:t>SARA no debe confundirse con los servicios que circulan por ella: la red actúa como infraestructura de transporte y permite que los organismos publiquen y consuman servicios. Entre los servicios comunes o históricamente accesibles se incluyen:</w:t>
      </w:r>
    </w:p>
    <w:p w:rsidR="00161E0E" w:rsidRPr="00EC0AFF" w:rsidRDefault="00EC0AFF">
      <w:pPr>
        <w:pStyle w:val="T68Bullet"/>
        <w:rPr>
          <w:sz w:val="22"/>
          <w:lang w:val="es-ES"/>
        </w:rPr>
      </w:pPr>
      <w:r w:rsidRPr="00EC0AFF">
        <w:rPr>
          <w:sz w:val="22"/>
          <w:lang w:val="es-ES"/>
        </w:rPr>
        <w:t>• Verificación y consulta de datos / Plataforma de Intermediación.</w:t>
      </w:r>
    </w:p>
    <w:p w:rsidR="00161E0E" w:rsidRPr="00EC0AFF" w:rsidRDefault="00EC0AFF">
      <w:pPr>
        <w:pStyle w:val="T68Bullet"/>
        <w:rPr>
          <w:sz w:val="22"/>
          <w:lang w:val="es-ES"/>
        </w:rPr>
      </w:pPr>
      <w:r w:rsidRPr="00EC0AFF">
        <w:rPr>
          <w:sz w:val="22"/>
          <w:lang w:val="es-ES"/>
        </w:rPr>
        <w:t>• @firma para validación de certificados y firmas electrónicas.</w:t>
      </w:r>
    </w:p>
    <w:p w:rsidR="00161E0E" w:rsidRPr="00EC0AFF" w:rsidRDefault="00EC0AFF">
      <w:pPr>
        <w:pStyle w:val="T68Bullet"/>
        <w:rPr>
          <w:sz w:val="22"/>
          <w:lang w:val="es-ES"/>
        </w:rPr>
      </w:pPr>
      <w:r w:rsidRPr="00EC0AFF">
        <w:rPr>
          <w:sz w:val="22"/>
          <w:lang w:val="es-ES"/>
        </w:rPr>
        <w:t>• Registro electrónico y servicios de intercambio registral, incluido SIR.</w:t>
      </w:r>
    </w:p>
    <w:p w:rsidR="00161E0E" w:rsidRPr="00EC0AFF" w:rsidRDefault="00EC0AFF">
      <w:pPr>
        <w:pStyle w:val="T68Bullet"/>
        <w:rPr>
          <w:sz w:val="22"/>
          <w:lang w:val="es-ES"/>
        </w:rPr>
      </w:pPr>
      <w:r w:rsidRPr="00EC0AFF">
        <w:rPr>
          <w:sz w:val="22"/>
          <w:lang w:val="es-ES"/>
        </w:rPr>
        <w:t>• SIA, catálogo de procedimientos y servicios administrativos.</w:t>
      </w:r>
    </w:p>
    <w:p w:rsidR="00161E0E" w:rsidRPr="00EC0AFF" w:rsidRDefault="00EC0AFF">
      <w:pPr>
        <w:pStyle w:val="T68Bullet"/>
        <w:rPr>
          <w:sz w:val="22"/>
          <w:lang w:val="es-ES"/>
        </w:rPr>
      </w:pPr>
      <w:r w:rsidRPr="00EC0AFF">
        <w:rPr>
          <w:sz w:val="22"/>
          <w:lang w:val="es-ES"/>
        </w:rPr>
        <w:t xml:space="preserve">• </w:t>
      </w:r>
      <w:proofErr w:type="spellStart"/>
      <w:r w:rsidRPr="00EC0AFF">
        <w:rPr>
          <w:sz w:val="22"/>
          <w:lang w:val="es-ES"/>
        </w:rPr>
        <w:t>FACe</w:t>
      </w:r>
      <w:proofErr w:type="spellEnd"/>
      <w:r w:rsidRPr="00EC0AFF">
        <w:rPr>
          <w:sz w:val="22"/>
          <w:lang w:val="es-ES"/>
        </w:rPr>
        <w:t>, Punto General de Entrada de Facturas Electrónicas.</w:t>
      </w:r>
    </w:p>
    <w:p w:rsidR="00161E0E" w:rsidRPr="00EC0AFF" w:rsidRDefault="00EC0AFF">
      <w:pPr>
        <w:pStyle w:val="T68Bullet"/>
        <w:rPr>
          <w:sz w:val="22"/>
          <w:lang w:val="es-ES"/>
        </w:rPr>
      </w:pPr>
      <w:r w:rsidRPr="00EC0AFF">
        <w:rPr>
          <w:sz w:val="22"/>
          <w:lang w:val="es-ES"/>
        </w:rPr>
        <w:t>• Servicios de Catastro, DGT, AEAT y otros organismos.</w:t>
      </w:r>
    </w:p>
    <w:p w:rsidR="00161E0E" w:rsidRPr="00EC0AFF" w:rsidRDefault="00EC0AFF">
      <w:pPr>
        <w:pStyle w:val="T68Bullet"/>
        <w:rPr>
          <w:sz w:val="22"/>
          <w:lang w:val="es-ES"/>
        </w:rPr>
      </w:pPr>
      <w:r w:rsidRPr="00EC0AFF">
        <w:rPr>
          <w:sz w:val="22"/>
          <w:lang w:val="es-ES"/>
        </w:rPr>
        <w:t>• Pasarela de pagos, cambio de domicilio y otros servicios horizontales.</w:t>
      </w:r>
    </w:p>
    <w:p w:rsidR="00161E0E" w:rsidRPr="00EC0AFF" w:rsidRDefault="00EC0AFF">
      <w:pPr>
        <w:pStyle w:val="T68Bullet"/>
        <w:rPr>
          <w:sz w:val="22"/>
          <w:lang w:val="es-ES"/>
        </w:rPr>
      </w:pPr>
      <w:r w:rsidRPr="00EC0AFF">
        <w:rPr>
          <w:sz w:val="22"/>
          <w:lang w:val="es-ES"/>
        </w:rPr>
        <w:t>• Servicios técnicos como DNS, NTP, correo, videoconferencia y voz IP, según los servicios publicados en el entorno.</w:t>
      </w:r>
    </w:p>
    <w:p w:rsidR="00161E0E" w:rsidRPr="00EC0AFF" w:rsidRDefault="00EC0AFF">
      <w:pPr>
        <w:pStyle w:val="T68H2"/>
        <w:rPr>
          <w:lang w:val="es-ES"/>
        </w:rPr>
      </w:pPr>
      <w:r w:rsidRPr="00EC0AFF">
        <w:rPr>
          <w:lang w:val="es-ES"/>
        </w:rPr>
        <w:t>9.3. Importancia de SARA</w:t>
      </w:r>
    </w:p>
    <w:p w:rsidR="00161E0E" w:rsidRPr="00EC0AFF" w:rsidRDefault="00EC0AFF">
      <w:pPr>
        <w:pStyle w:val="T68Body"/>
        <w:rPr>
          <w:sz w:val="22"/>
          <w:lang w:val="es-ES"/>
        </w:rPr>
      </w:pPr>
      <w:r w:rsidRPr="00EC0AFF">
        <w:rPr>
          <w:sz w:val="22"/>
          <w:lang w:val="es-ES"/>
        </w:rPr>
        <w:t>Al disponer de una red común, las Administraciones pueden compartir servicios sin crear una red privada distinta para cada relación bilateral. Esto racionaliza infraestructuras, simplifica integraciones y favorece que servicios estatales, autonómicos y locales estén disponibles de forma interoperable.</w:t>
      </w:r>
    </w:p>
    <w:p w:rsidR="00161E0E" w:rsidRDefault="00EC0AFF" w:rsidP="00EC0AFF">
      <w:pPr>
        <w:pStyle w:val="Ttulo1"/>
        <w:rPr>
          <w:lang w:val="es-ES"/>
        </w:rPr>
      </w:pPr>
      <w:bookmarkStart w:id="10" w:name="_Toc240909674"/>
      <w:r w:rsidRPr="00EC0AFF">
        <w:rPr>
          <w:lang w:val="es-ES"/>
        </w:rPr>
        <w:lastRenderedPageBreak/>
        <w:t>10. OTROS PROYECTOS NACIONALES DE INTERCAMBIO DE DATOS</w:t>
      </w:r>
      <w:bookmarkEnd w:id="10"/>
    </w:p>
    <w:p w:rsidR="00EC0AFF" w:rsidRPr="00EC0AFF" w:rsidRDefault="00EC0AFF" w:rsidP="00EC0AFF">
      <w:pPr>
        <w:rPr>
          <w:lang w:val="es-ES"/>
        </w:rPr>
      </w:pPr>
    </w:p>
    <w:p w:rsidR="00161E0E" w:rsidRPr="00EC0AFF" w:rsidRDefault="00EC0AFF">
      <w:pPr>
        <w:pStyle w:val="T68H2"/>
        <w:rPr>
          <w:lang w:val="es-ES"/>
        </w:rPr>
      </w:pPr>
      <w:r w:rsidRPr="00EC0AFF">
        <w:rPr>
          <w:lang w:val="es-ES"/>
        </w:rPr>
        <w:t>10.1. Historia Clínica Digital del Sistema Nacional de Salud (HCDSNS)</w:t>
      </w:r>
    </w:p>
    <w:p w:rsidR="00161E0E" w:rsidRPr="00EC0AFF" w:rsidRDefault="00EC0AFF">
      <w:pPr>
        <w:pStyle w:val="T68Body"/>
        <w:rPr>
          <w:sz w:val="22"/>
          <w:lang w:val="es-ES"/>
        </w:rPr>
      </w:pPr>
      <w:r w:rsidRPr="00EC0AFF">
        <w:rPr>
          <w:sz w:val="22"/>
          <w:lang w:val="es-ES"/>
        </w:rPr>
        <w:t>La HCDSNS permite compartir información clínica relevante entre los servicios de salud de las comunidades autónomas. Su finalidad es que determinada documentación clínica pueda estar disponible cuando un ciudadano recibe asistencia fuera de su comunidad de origen, dentro de las condiciones de acceso y seguridad establecidas.</w:t>
      </w:r>
    </w:p>
    <w:p w:rsidR="00161E0E" w:rsidRPr="00EC0AFF" w:rsidRDefault="00EC0AFF">
      <w:pPr>
        <w:pStyle w:val="T68Bullet"/>
        <w:rPr>
          <w:sz w:val="22"/>
          <w:lang w:val="es-ES"/>
        </w:rPr>
      </w:pPr>
      <w:r w:rsidRPr="00EC0AFF">
        <w:rPr>
          <w:sz w:val="22"/>
          <w:lang w:val="es-ES"/>
        </w:rPr>
        <w:t>• Favorece la continuidad asistencial y reduce repeticiones innecesarias de información o pruebas.</w:t>
      </w:r>
    </w:p>
    <w:p w:rsidR="00161E0E" w:rsidRPr="00EC0AFF" w:rsidRDefault="00EC0AFF">
      <w:pPr>
        <w:pStyle w:val="T68Bullet"/>
        <w:rPr>
          <w:sz w:val="22"/>
          <w:lang w:val="es-ES"/>
        </w:rPr>
      </w:pPr>
      <w:r w:rsidRPr="00EC0AFF">
        <w:rPr>
          <w:sz w:val="22"/>
          <w:lang w:val="es-ES"/>
        </w:rPr>
        <w:t>• Exige interoperabilidad documental, técnica y semántica entre sistemas autonómicos.</w:t>
      </w:r>
    </w:p>
    <w:p w:rsidR="00161E0E" w:rsidRPr="00EC0AFF" w:rsidRDefault="00EC0AFF">
      <w:pPr>
        <w:pStyle w:val="T68Bullet"/>
        <w:rPr>
          <w:sz w:val="22"/>
          <w:lang w:val="es-ES"/>
        </w:rPr>
      </w:pPr>
      <w:r w:rsidRPr="00EC0AFF">
        <w:rPr>
          <w:sz w:val="22"/>
          <w:lang w:val="es-ES"/>
        </w:rPr>
        <w:t>• El ciudadano puede disponer de mecanismos de acceso a su documentación y de información sobre accesos realizados, según los servicios habilitados.</w:t>
      </w:r>
    </w:p>
    <w:p w:rsidR="00161E0E" w:rsidRPr="00EC0AFF" w:rsidRDefault="00EC0AFF">
      <w:pPr>
        <w:pStyle w:val="T68H2"/>
        <w:rPr>
          <w:lang w:val="es-ES"/>
        </w:rPr>
      </w:pPr>
      <w:r w:rsidRPr="00EC0AFF">
        <w:rPr>
          <w:lang w:val="es-ES"/>
        </w:rPr>
        <w:t>10.2. Receta Electrónica Interoperable del SNS (RESNS)</w:t>
      </w:r>
    </w:p>
    <w:p w:rsidR="00161E0E" w:rsidRPr="00EC0AFF" w:rsidRDefault="00EC0AFF">
      <w:pPr>
        <w:pStyle w:val="T68Body"/>
        <w:rPr>
          <w:sz w:val="22"/>
          <w:lang w:val="es-ES"/>
        </w:rPr>
      </w:pPr>
      <w:r w:rsidRPr="00EC0AFF">
        <w:rPr>
          <w:sz w:val="22"/>
          <w:lang w:val="es-ES"/>
        </w:rPr>
        <w:t>La receta electrónica interoperable permite dispensar en una oficina de farmacia de una comunidad autónoma medicamentos prescritos electrónicamente en otra comunidad, utilizando la tarjeta sanitaria individual física o virtual. El farmacéutico consulta el tratamiento interoperable y registra la dispensación en el circuito correspondiente.</w:t>
      </w:r>
    </w:p>
    <w:p w:rsidR="00161E0E" w:rsidRPr="00EC0AFF" w:rsidRDefault="00EC0AFF">
      <w:pPr>
        <w:pStyle w:val="T68H2"/>
        <w:rPr>
          <w:lang w:val="es-ES"/>
        </w:rPr>
      </w:pPr>
      <w:r w:rsidRPr="00EC0AFF">
        <w:rPr>
          <w:lang w:val="es-ES"/>
        </w:rPr>
        <w:t>10.3. Sistema de Interconexión de Registros (SIR)</w:t>
      </w:r>
    </w:p>
    <w:p w:rsidR="00161E0E" w:rsidRPr="00EC0AFF" w:rsidRDefault="00EC0AFF">
      <w:pPr>
        <w:pStyle w:val="T68Body"/>
        <w:rPr>
          <w:sz w:val="22"/>
          <w:lang w:val="es-ES"/>
        </w:rPr>
      </w:pPr>
      <w:r w:rsidRPr="00EC0AFF">
        <w:rPr>
          <w:sz w:val="22"/>
          <w:lang w:val="es-ES"/>
        </w:rPr>
        <w:t>SIR permite intercambiar electrónicamente asientos registrales y documentación entre Administraciones Públicas. Facilita que una solicitud presentada ante una oficina integrada pueda ser remitida electrónicamente al organismo competente, evitando traslados en papel y mejorando la trazabilidad del envío.</w:t>
      </w:r>
    </w:p>
    <w:p w:rsidR="00161E0E" w:rsidRPr="00EC0AFF" w:rsidRDefault="00EC0AFF">
      <w:pPr>
        <w:pStyle w:val="T68H2"/>
        <w:rPr>
          <w:lang w:val="es-ES"/>
        </w:rPr>
      </w:pPr>
      <w:r w:rsidRPr="00EC0AFF">
        <w:rPr>
          <w:lang w:val="es-ES"/>
        </w:rPr>
        <w:t>10.4. @firma y servicios horizontales</w:t>
      </w:r>
    </w:p>
    <w:p w:rsidR="00161E0E" w:rsidRDefault="00EC0AFF">
      <w:pPr>
        <w:pStyle w:val="T68Body"/>
        <w:rPr>
          <w:sz w:val="22"/>
          <w:lang w:val="es-ES"/>
        </w:rPr>
      </w:pPr>
      <w:r w:rsidRPr="00EC0AFF">
        <w:rPr>
          <w:sz w:val="22"/>
          <w:lang w:val="es-ES"/>
        </w:rPr>
        <w:t>@firma es la plataforma común de validación de certificados y firmas electrónicas. Aunque no es un sistema de intercambio de datos en el mismo sentido que EDI o SCSP, constituye un servicio horizontal relevante porque permite a las aplicaciones administrativas validar identidades y firmas y asegurar la autenticidad e integridad de transacciones electrónicas.</w:t>
      </w:r>
    </w:p>
    <w:p w:rsidR="00EC0AFF" w:rsidRPr="00EC0AFF" w:rsidRDefault="00EC0AFF">
      <w:pPr>
        <w:pStyle w:val="T68Body"/>
        <w:rPr>
          <w:sz w:val="22"/>
          <w:lang w:val="es-ES"/>
        </w:rPr>
      </w:pPr>
    </w:p>
    <w:p w:rsidR="00161E0E" w:rsidRDefault="00EC0AFF" w:rsidP="00EC0AFF">
      <w:pPr>
        <w:pStyle w:val="Ttulo1"/>
        <w:rPr>
          <w:lang w:val="es-ES"/>
        </w:rPr>
      </w:pPr>
      <w:bookmarkStart w:id="11" w:name="_Toc240909675"/>
      <w:r w:rsidRPr="00EC0AFF">
        <w:rPr>
          <w:lang w:val="es-ES"/>
        </w:rPr>
        <w:t>11. PROYECTOS E INICIATIVAS EUROPEAS</w:t>
      </w:r>
      <w:bookmarkEnd w:id="11"/>
    </w:p>
    <w:p w:rsidR="00EC0AFF" w:rsidRPr="00EC0AFF" w:rsidRDefault="00EC0AFF" w:rsidP="00EC0AFF">
      <w:pPr>
        <w:rPr>
          <w:lang w:val="es-ES"/>
        </w:rPr>
      </w:pPr>
    </w:p>
    <w:p w:rsidR="00161E0E" w:rsidRPr="00EC0AFF" w:rsidRDefault="00EC0AFF">
      <w:pPr>
        <w:pStyle w:val="T68H2"/>
        <w:rPr>
          <w:lang w:val="es-ES"/>
        </w:rPr>
      </w:pPr>
      <w:r w:rsidRPr="00EC0AFF">
        <w:rPr>
          <w:lang w:val="es-ES"/>
        </w:rPr>
        <w:t>11.1. EESSI</w:t>
      </w:r>
    </w:p>
    <w:p w:rsidR="00161E0E" w:rsidRPr="00EC0AFF" w:rsidRDefault="00EC0AFF">
      <w:pPr>
        <w:pStyle w:val="T68Body"/>
        <w:rPr>
          <w:sz w:val="22"/>
          <w:lang w:val="es-ES"/>
        </w:rPr>
      </w:pPr>
      <w:r w:rsidRPr="00EC0AFF">
        <w:rPr>
          <w:sz w:val="22"/>
          <w:lang w:val="es-ES"/>
        </w:rPr>
        <w:t>EESSI (</w:t>
      </w:r>
      <w:proofErr w:type="spellStart"/>
      <w:r w:rsidRPr="00EC0AFF">
        <w:rPr>
          <w:sz w:val="22"/>
          <w:lang w:val="es-ES"/>
        </w:rPr>
        <w:t>Electronic</w:t>
      </w:r>
      <w:proofErr w:type="spellEnd"/>
      <w:r w:rsidRPr="00EC0AFF">
        <w:rPr>
          <w:sz w:val="22"/>
          <w:lang w:val="es-ES"/>
        </w:rPr>
        <w:t xml:space="preserve"> Exchange of Social Security </w:t>
      </w:r>
      <w:proofErr w:type="spellStart"/>
      <w:r w:rsidRPr="00EC0AFF">
        <w:rPr>
          <w:sz w:val="22"/>
          <w:lang w:val="es-ES"/>
        </w:rPr>
        <w:t>Information</w:t>
      </w:r>
      <w:proofErr w:type="spellEnd"/>
      <w:r w:rsidRPr="00EC0AFF">
        <w:rPr>
          <w:sz w:val="22"/>
          <w:lang w:val="es-ES"/>
        </w:rPr>
        <w:t>) es el sistema informático europeo que permite a las instituciones de seguridad social intercambiar electrónicamente información necesaria para aplicar la normativa de coordinación de la Seguridad Social. Abarca ámbitos como enfermedad, accidentes de trabajo, pensiones, desempleo y prestaciones familiares.</w:t>
      </w:r>
    </w:p>
    <w:p w:rsidR="00161E0E" w:rsidRPr="00EC0AFF" w:rsidRDefault="00EC0AFF">
      <w:pPr>
        <w:pStyle w:val="T68Bullet"/>
        <w:rPr>
          <w:sz w:val="22"/>
          <w:lang w:val="es-ES"/>
        </w:rPr>
      </w:pPr>
      <w:r w:rsidRPr="00EC0AFF">
        <w:rPr>
          <w:sz w:val="22"/>
          <w:lang w:val="es-ES"/>
        </w:rPr>
        <w:t>• Sustituye intercambios en papel por documentos electrónicos estructurados.</w:t>
      </w:r>
    </w:p>
    <w:p w:rsidR="00161E0E" w:rsidRPr="00EC0AFF" w:rsidRDefault="00EC0AFF">
      <w:pPr>
        <w:pStyle w:val="T68Bullet"/>
        <w:rPr>
          <w:sz w:val="22"/>
          <w:lang w:val="es-ES"/>
        </w:rPr>
      </w:pPr>
      <w:r w:rsidRPr="00EC0AFF">
        <w:rPr>
          <w:sz w:val="22"/>
          <w:lang w:val="es-ES"/>
        </w:rPr>
        <w:t>• Mejora tiempos de tramitación y reduce errores en situaciones transfronterizas.</w:t>
      </w:r>
    </w:p>
    <w:p w:rsidR="00161E0E" w:rsidRPr="00EC0AFF" w:rsidRDefault="00EC0AFF">
      <w:pPr>
        <w:pStyle w:val="T68Bullet"/>
        <w:rPr>
          <w:sz w:val="22"/>
          <w:lang w:val="es-ES"/>
        </w:rPr>
      </w:pPr>
      <w:r w:rsidRPr="00EC0AFF">
        <w:rPr>
          <w:sz w:val="22"/>
          <w:lang w:val="es-ES"/>
        </w:rPr>
        <w:t>• Permite que las instituciones competentes de los distintos Estados miembros cooperen de forma más segura y normalizada.</w:t>
      </w:r>
    </w:p>
    <w:p w:rsidR="00161E0E" w:rsidRPr="00EC0AFF" w:rsidRDefault="00EC0AFF">
      <w:pPr>
        <w:pStyle w:val="T68H2"/>
        <w:rPr>
          <w:lang w:val="es-ES"/>
        </w:rPr>
      </w:pPr>
      <w:r w:rsidRPr="00EC0AFF">
        <w:rPr>
          <w:lang w:val="es-ES"/>
        </w:rPr>
        <w:t xml:space="preserve">11.2. Mi </w:t>
      </w:r>
      <w:proofErr w:type="spellStart"/>
      <w:r w:rsidRPr="00EC0AFF">
        <w:rPr>
          <w:lang w:val="es-ES"/>
        </w:rPr>
        <w:t>Salud@UE</w:t>
      </w:r>
      <w:proofErr w:type="spellEnd"/>
      <w:r w:rsidRPr="00EC0AFF">
        <w:rPr>
          <w:lang w:val="es-ES"/>
        </w:rPr>
        <w:t xml:space="preserve"> / </w:t>
      </w:r>
      <w:proofErr w:type="spellStart"/>
      <w:r w:rsidRPr="00EC0AFF">
        <w:rPr>
          <w:lang w:val="es-ES"/>
        </w:rPr>
        <w:t>MyHealth@EU</w:t>
      </w:r>
      <w:proofErr w:type="spellEnd"/>
    </w:p>
    <w:p w:rsidR="00161E0E" w:rsidRPr="00EC0AFF" w:rsidRDefault="00EC0AFF">
      <w:pPr>
        <w:pStyle w:val="T68Body"/>
        <w:rPr>
          <w:sz w:val="22"/>
          <w:lang w:val="es-ES"/>
        </w:rPr>
      </w:pPr>
      <w:proofErr w:type="spellStart"/>
      <w:r w:rsidRPr="00EC0AFF">
        <w:rPr>
          <w:sz w:val="22"/>
          <w:lang w:val="es-ES"/>
        </w:rPr>
        <w:t>MyHealth@EU</w:t>
      </w:r>
      <w:proofErr w:type="spellEnd"/>
      <w:r w:rsidRPr="00EC0AFF">
        <w:rPr>
          <w:sz w:val="22"/>
          <w:lang w:val="es-ES"/>
        </w:rPr>
        <w:t xml:space="preserve">, denominado en España Mi </w:t>
      </w:r>
      <w:proofErr w:type="spellStart"/>
      <w:r w:rsidRPr="00EC0AFF">
        <w:rPr>
          <w:sz w:val="22"/>
          <w:lang w:val="es-ES"/>
        </w:rPr>
        <w:t>Salud@UE</w:t>
      </w:r>
      <w:proofErr w:type="spellEnd"/>
      <w:r w:rsidRPr="00EC0AFF">
        <w:rPr>
          <w:sz w:val="22"/>
          <w:lang w:val="es-ES"/>
        </w:rPr>
        <w:t>, es la infraestructura europea de servicios sanitarios digitales destinada al intercambio transfronterizo de información sanitaria para la asistencia. España participa a través del Sistema Nacional de Salud.</w:t>
      </w:r>
    </w:p>
    <w:p w:rsidR="00161E0E" w:rsidRPr="00EC0AFF" w:rsidRDefault="00EC0AFF">
      <w:pPr>
        <w:pStyle w:val="T68Bullet"/>
        <w:rPr>
          <w:sz w:val="22"/>
          <w:lang w:val="es-ES"/>
        </w:rPr>
      </w:pPr>
      <w:r w:rsidRPr="00EC0AFF">
        <w:rPr>
          <w:sz w:val="22"/>
          <w:lang w:val="es-ES"/>
        </w:rPr>
        <w:t xml:space="preserve">• </w:t>
      </w:r>
      <w:proofErr w:type="spellStart"/>
      <w:r w:rsidRPr="00EC0AFF">
        <w:rPr>
          <w:b/>
          <w:sz w:val="22"/>
          <w:lang w:val="es-ES"/>
        </w:rPr>
        <w:t>ePrescription</w:t>
      </w:r>
      <w:proofErr w:type="spellEnd"/>
      <w:r w:rsidRPr="00EC0AFF">
        <w:rPr>
          <w:b/>
          <w:sz w:val="22"/>
          <w:lang w:val="es-ES"/>
        </w:rPr>
        <w:t>/</w:t>
      </w:r>
      <w:proofErr w:type="spellStart"/>
      <w:r w:rsidRPr="00EC0AFF">
        <w:rPr>
          <w:b/>
          <w:sz w:val="22"/>
          <w:lang w:val="es-ES"/>
        </w:rPr>
        <w:t>eDispensation</w:t>
      </w:r>
      <w:proofErr w:type="spellEnd"/>
      <w:r w:rsidRPr="00EC0AFF">
        <w:rPr>
          <w:b/>
          <w:sz w:val="22"/>
          <w:lang w:val="es-ES"/>
        </w:rPr>
        <w:t>:</w:t>
      </w:r>
      <w:r w:rsidRPr="00EC0AFF">
        <w:rPr>
          <w:sz w:val="22"/>
          <w:lang w:val="es-ES"/>
        </w:rPr>
        <w:t xml:space="preserve"> permite que determinadas recetas electrónicas emitidas en un país participante puedan dispensarse en otro país participante.</w:t>
      </w:r>
    </w:p>
    <w:p w:rsidR="00161E0E" w:rsidRPr="00EC0AFF" w:rsidRDefault="00EC0AFF">
      <w:pPr>
        <w:pStyle w:val="T68Bullet"/>
        <w:rPr>
          <w:sz w:val="22"/>
          <w:lang w:val="es-ES"/>
        </w:rPr>
      </w:pPr>
      <w:r w:rsidRPr="00EC0AFF">
        <w:rPr>
          <w:sz w:val="22"/>
          <w:lang w:val="es-ES"/>
        </w:rPr>
        <w:lastRenderedPageBreak/>
        <w:t xml:space="preserve">• </w:t>
      </w:r>
      <w:proofErr w:type="spellStart"/>
      <w:r w:rsidRPr="00EC0AFF">
        <w:rPr>
          <w:b/>
          <w:sz w:val="22"/>
          <w:lang w:val="es-ES"/>
        </w:rPr>
        <w:t>Patient</w:t>
      </w:r>
      <w:proofErr w:type="spellEnd"/>
      <w:r w:rsidRPr="00EC0AFF">
        <w:rPr>
          <w:b/>
          <w:sz w:val="22"/>
          <w:lang w:val="es-ES"/>
        </w:rPr>
        <w:t xml:space="preserve"> </w:t>
      </w:r>
      <w:proofErr w:type="spellStart"/>
      <w:r w:rsidRPr="00EC0AFF">
        <w:rPr>
          <w:b/>
          <w:sz w:val="22"/>
          <w:lang w:val="es-ES"/>
        </w:rPr>
        <w:t>Summary</w:t>
      </w:r>
      <w:proofErr w:type="spellEnd"/>
      <w:r w:rsidRPr="00EC0AFF">
        <w:rPr>
          <w:b/>
          <w:sz w:val="22"/>
          <w:lang w:val="es-ES"/>
        </w:rPr>
        <w:t xml:space="preserve"> / resumen de paciente:</w:t>
      </w:r>
      <w:r w:rsidRPr="00EC0AFF">
        <w:rPr>
          <w:sz w:val="22"/>
          <w:lang w:val="es-ES"/>
        </w:rPr>
        <w:t xml:space="preserve"> permite compartir un conjunto resumido de información clínica relevante para la asistencia transfronteriza, conforme al despliegue de cada Estado.</w:t>
      </w:r>
    </w:p>
    <w:p w:rsidR="00161E0E" w:rsidRPr="00EC0AFF" w:rsidRDefault="00EC0AFF">
      <w:pPr>
        <w:pStyle w:val="T68H2"/>
        <w:rPr>
          <w:lang w:val="es-ES"/>
        </w:rPr>
      </w:pPr>
      <w:r w:rsidRPr="00EC0AFF">
        <w:rPr>
          <w:lang w:val="es-ES"/>
        </w:rPr>
        <w:t>11.3. Espacio Europeo de Datos de Salud (EEDS/EHDS)</w:t>
      </w:r>
    </w:p>
    <w:p w:rsidR="00161E0E" w:rsidRPr="00EC0AFF" w:rsidRDefault="00EC0AFF">
      <w:pPr>
        <w:pStyle w:val="T68Body"/>
        <w:rPr>
          <w:sz w:val="22"/>
          <w:lang w:val="es-ES"/>
        </w:rPr>
      </w:pPr>
      <w:r w:rsidRPr="00EC0AFF">
        <w:rPr>
          <w:sz w:val="22"/>
          <w:lang w:val="es-ES"/>
        </w:rPr>
        <w:t>El Reglamento (UE) 2025/327, relativo al Espacio Europeo de Datos de Salud, fue publicado el 5 de marzo de 2025. Establece un marco europeo para mejorar el acceso y control de las personas sobre sus datos sanitarios electrónicos, facilitar el intercambio para la asistencia y regular determinados usos secundarios bajo garantías.</w:t>
      </w:r>
    </w:p>
    <w:p w:rsidR="00161E0E" w:rsidRPr="00EC0AFF" w:rsidRDefault="00EC0AFF">
      <w:pPr>
        <w:pStyle w:val="T68Bullet"/>
        <w:rPr>
          <w:sz w:val="22"/>
          <w:lang w:val="es-ES"/>
        </w:rPr>
      </w:pPr>
      <w:r w:rsidRPr="00EC0AFF">
        <w:rPr>
          <w:sz w:val="22"/>
          <w:lang w:val="es-ES"/>
        </w:rPr>
        <w:t xml:space="preserve">• </w:t>
      </w:r>
      <w:r w:rsidRPr="00EC0AFF">
        <w:rPr>
          <w:b/>
          <w:sz w:val="22"/>
          <w:lang w:val="es-ES"/>
        </w:rPr>
        <w:t>Uso primario:</w:t>
      </w:r>
      <w:r w:rsidRPr="00EC0AFF">
        <w:rPr>
          <w:sz w:val="22"/>
          <w:lang w:val="es-ES"/>
        </w:rPr>
        <w:t xml:space="preserve"> tratamiento e intercambio de datos para prestar asistencia sanitaria a la persona.</w:t>
      </w:r>
    </w:p>
    <w:p w:rsidR="00161E0E" w:rsidRPr="00EC0AFF" w:rsidRDefault="00EC0AFF">
      <w:pPr>
        <w:pStyle w:val="T68Bullet"/>
        <w:rPr>
          <w:sz w:val="22"/>
          <w:lang w:val="es-ES"/>
        </w:rPr>
      </w:pPr>
      <w:r w:rsidRPr="00EC0AFF">
        <w:rPr>
          <w:sz w:val="22"/>
          <w:lang w:val="es-ES"/>
        </w:rPr>
        <w:t xml:space="preserve">• </w:t>
      </w:r>
      <w:r w:rsidRPr="00EC0AFF">
        <w:rPr>
          <w:b/>
          <w:sz w:val="22"/>
          <w:lang w:val="es-ES"/>
        </w:rPr>
        <w:t>Uso secundario:</w:t>
      </w:r>
      <w:r w:rsidRPr="00EC0AFF">
        <w:rPr>
          <w:sz w:val="22"/>
          <w:lang w:val="es-ES"/>
        </w:rPr>
        <w:t xml:space="preserve"> acceso regulado a determinados datos para fines como investigación, innovación, elaboración de políticas, estadísticas y actividades regulatorias.</w:t>
      </w:r>
    </w:p>
    <w:p w:rsidR="00161E0E" w:rsidRPr="00EC0AFF" w:rsidRDefault="00EC0AFF">
      <w:pPr>
        <w:pStyle w:val="T68Bullet"/>
        <w:rPr>
          <w:sz w:val="22"/>
          <w:lang w:val="es-ES"/>
        </w:rPr>
      </w:pPr>
      <w:r w:rsidRPr="00EC0AFF">
        <w:rPr>
          <w:sz w:val="22"/>
          <w:lang w:val="es-ES"/>
        </w:rPr>
        <w:t xml:space="preserve">• </w:t>
      </w:r>
      <w:r w:rsidRPr="00EC0AFF">
        <w:rPr>
          <w:b/>
          <w:sz w:val="22"/>
          <w:lang w:val="es-ES"/>
        </w:rPr>
        <w:t>Sistemas de historia clínica electrónica:</w:t>
      </w:r>
      <w:r w:rsidRPr="00EC0AFF">
        <w:rPr>
          <w:sz w:val="22"/>
          <w:lang w:val="es-ES"/>
        </w:rPr>
        <w:t xml:space="preserve"> establece requisitos comunes para favorecer interoperabilidad y portabilidad de categorías prioritarias de datos.</w:t>
      </w:r>
    </w:p>
    <w:p w:rsidR="00161E0E" w:rsidRPr="00EC0AFF" w:rsidRDefault="00EC0AFF">
      <w:pPr>
        <w:pStyle w:val="T68Body"/>
        <w:rPr>
          <w:sz w:val="22"/>
          <w:lang w:val="es-ES"/>
        </w:rPr>
      </w:pPr>
      <w:r w:rsidRPr="00EC0AFF">
        <w:rPr>
          <w:sz w:val="22"/>
          <w:lang w:val="es-ES"/>
        </w:rPr>
        <w:t xml:space="preserve">El EHDS debe entenderse como un marco jurídico y de interoperabilidad de mayor alcance que </w:t>
      </w:r>
      <w:proofErr w:type="spellStart"/>
      <w:r w:rsidRPr="00EC0AFF">
        <w:rPr>
          <w:sz w:val="22"/>
          <w:lang w:val="es-ES"/>
        </w:rPr>
        <w:t>MyHealth@EU</w:t>
      </w:r>
      <w:proofErr w:type="spellEnd"/>
      <w:r w:rsidRPr="00EC0AFF">
        <w:rPr>
          <w:sz w:val="22"/>
          <w:lang w:val="es-ES"/>
        </w:rPr>
        <w:t>: este último es una infraestructura concreta de servicios sanitarios transfronterizos, mientras que el EHDS regula un espacio europeo de datos de salud con usos primarios y secundarios.</w:t>
      </w:r>
    </w:p>
    <w:p w:rsidR="00161E0E" w:rsidRPr="00EC0AFF" w:rsidRDefault="00EC0AFF">
      <w:pPr>
        <w:pStyle w:val="T68H2"/>
        <w:rPr>
          <w:lang w:val="es-ES"/>
        </w:rPr>
      </w:pPr>
      <w:r w:rsidRPr="00EC0AFF">
        <w:rPr>
          <w:lang w:val="es-ES"/>
        </w:rPr>
        <w:t xml:space="preserve">11.4. </w:t>
      </w:r>
      <w:proofErr w:type="spellStart"/>
      <w:r w:rsidRPr="00EC0AFF">
        <w:rPr>
          <w:lang w:val="es-ES"/>
        </w:rPr>
        <w:t>eIDAS</w:t>
      </w:r>
      <w:proofErr w:type="spellEnd"/>
      <w:r w:rsidRPr="00EC0AFF">
        <w:rPr>
          <w:lang w:val="es-ES"/>
        </w:rPr>
        <w:t xml:space="preserve"> y marco europeo de identidad digital</w:t>
      </w:r>
    </w:p>
    <w:p w:rsidR="00161E0E" w:rsidRPr="00EC0AFF" w:rsidRDefault="00EC0AFF">
      <w:pPr>
        <w:pStyle w:val="T68Body"/>
        <w:rPr>
          <w:sz w:val="22"/>
          <w:lang w:val="es-ES"/>
        </w:rPr>
      </w:pPr>
      <w:r w:rsidRPr="00EC0AFF">
        <w:rPr>
          <w:sz w:val="22"/>
          <w:lang w:val="es-ES"/>
        </w:rPr>
        <w:t xml:space="preserve">El Reglamento </w:t>
      </w:r>
      <w:proofErr w:type="spellStart"/>
      <w:r w:rsidRPr="00EC0AFF">
        <w:rPr>
          <w:sz w:val="22"/>
          <w:lang w:val="es-ES"/>
        </w:rPr>
        <w:t>eIDAS</w:t>
      </w:r>
      <w:proofErr w:type="spellEnd"/>
      <w:r w:rsidRPr="00EC0AFF">
        <w:rPr>
          <w:sz w:val="22"/>
          <w:lang w:val="es-ES"/>
        </w:rPr>
        <w:t xml:space="preserve"> estableció un marco para identificación electrónica y servicios de confianza en la UE. Su evolución mediante el marco europeo de identidad digital busca facilitar el reconocimiento transfronterizo de medios de identificación y credenciales, aspecto relevante para acceder de forma segura a servicios públicos digitales y para autenticar a personas y entidades en intercambios electrónicos.</w:t>
      </w:r>
    </w:p>
    <w:p w:rsidR="00161E0E" w:rsidRPr="00EC0AFF" w:rsidRDefault="00EC0AFF">
      <w:pPr>
        <w:pStyle w:val="T68H2"/>
        <w:rPr>
          <w:lang w:val="es-ES"/>
        </w:rPr>
      </w:pPr>
      <w:r w:rsidRPr="00EC0AFF">
        <w:rPr>
          <w:lang w:val="es-ES"/>
        </w:rPr>
        <w:t>11.5. Estrategia europea de datos</w:t>
      </w:r>
    </w:p>
    <w:p w:rsidR="00161E0E" w:rsidRPr="00EC0AFF" w:rsidRDefault="00EC0AFF">
      <w:pPr>
        <w:pStyle w:val="T68Body"/>
        <w:rPr>
          <w:sz w:val="22"/>
          <w:lang w:val="es-ES"/>
        </w:rPr>
      </w:pPr>
      <w:r w:rsidRPr="00EC0AFF">
        <w:rPr>
          <w:sz w:val="22"/>
          <w:lang w:val="es-ES"/>
        </w:rPr>
        <w:t>La política europea de datos persigue favorecer espacios comunes de datos y un mercado en el que la información pueda utilizarse de forma segura y conforme a la normativa. En salud, esta estrategia se concreta de forma especialmente relevante en el EHDS; en otros sectores existen iniciativas equivalentes orientadas a movilidad, industria, energía, administraciones y otros dominios.</w:t>
      </w:r>
    </w:p>
    <w:p w:rsidR="00161E0E" w:rsidRDefault="00EC0AFF" w:rsidP="00EC0AFF">
      <w:pPr>
        <w:pStyle w:val="Ttulo1"/>
        <w:rPr>
          <w:lang w:val="es-ES"/>
        </w:rPr>
      </w:pPr>
      <w:bookmarkStart w:id="12" w:name="_Toc240909676"/>
      <w:r w:rsidRPr="00EC0AFF">
        <w:rPr>
          <w:lang w:val="es-ES"/>
        </w:rPr>
        <w:t>12. SEGURIDAD, PROTECCIÓN DE DATOS Y GARANTÍAS</w:t>
      </w:r>
      <w:bookmarkEnd w:id="12"/>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El intercambio electrónico de datos debe cumplir los principios de protección de datos y seguridad aplicables. La interoperabilidad no significa acceso indiscriminado a la información: cada consulta debe tener base jurídica, finalidad legítima, control de acceso y trazabilidad.</w:t>
      </w:r>
    </w:p>
    <w:p w:rsidR="00161E0E" w:rsidRPr="00EC0AFF" w:rsidRDefault="00EC0AFF">
      <w:pPr>
        <w:pStyle w:val="T68Bullet"/>
        <w:rPr>
          <w:sz w:val="22"/>
          <w:lang w:val="es-ES"/>
        </w:rPr>
      </w:pPr>
      <w:r w:rsidRPr="00EC0AFF">
        <w:rPr>
          <w:sz w:val="22"/>
          <w:lang w:val="es-ES"/>
        </w:rPr>
        <w:t xml:space="preserve">• </w:t>
      </w:r>
      <w:r w:rsidRPr="00EC0AFF">
        <w:rPr>
          <w:b/>
          <w:sz w:val="22"/>
          <w:lang w:val="es-ES"/>
        </w:rPr>
        <w:t>Autenticidad:</w:t>
      </w:r>
      <w:r w:rsidRPr="00EC0AFF">
        <w:rPr>
          <w:sz w:val="22"/>
          <w:lang w:val="es-ES"/>
        </w:rPr>
        <w:t xml:space="preserve"> permite comprobar la identidad del emisor u origen de la información.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Integridad:</w:t>
      </w:r>
      <w:r w:rsidRPr="00EC0AFF">
        <w:rPr>
          <w:sz w:val="22"/>
          <w:lang w:val="es-ES"/>
        </w:rPr>
        <w:t xml:space="preserve"> garantiza que los datos no han sido alterados de forma no autorizada.</w:t>
      </w:r>
    </w:p>
    <w:p w:rsidR="00161E0E" w:rsidRPr="00EC0AFF" w:rsidRDefault="00EC0AFF">
      <w:pPr>
        <w:pStyle w:val="T68Bullet"/>
        <w:rPr>
          <w:sz w:val="22"/>
          <w:lang w:val="es-ES"/>
        </w:rPr>
      </w:pPr>
      <w:r w:rsidRPr="00EC0AFF">
        <w:rPr>
          <w:sz w:val="22"/>
          <w:lang w:val="es-ES"/>
        </w:rPr>
        <w:t xml:space="preserve">• </w:t>
      </w:r>
      <w:r w:rsidRPr="00EC0AFF">
        <w:rPr>
          <w:b/>
          <w:sz w:val="22"/>
          <w:lang w:val="es-ES"/>
        </w:rPr>
        <w:t>Confidencialidad:</w:t>
      </w:r>
      <w:r w:rsidRPr="00EC0AFF">
        <w:rPr>
          <w:sz w:val="22"/>
          <w:lang w:val="es-ES"/>
        </w:rPr>
        <w:t xml:space="preserve"> limita el acceso a la información a sujetos y sistemas autorizados.</w:t>
      </w:r>
    </w:p>
    <w:p w:rsidR="00161E0E" w:rsidRPr="00EC0AFF" w:rsidRDefault="00EC0AFF">
      <w:pPr>
        <w:pStyle w:val="T68Bullet"/>
        <w:rPr>
          <w:sz w:val="22"/>
          <w:lang w:val="es-ES"/>
        </w:rPr>
      </w:pPr>
      <w:r w:rsidRPr="00EC0AFF">
        <w:rPr>
          <w:sz w:val="22"/>
          <w:lang w:val="es-ES"/>
        </w:rPr>
        <w:t xml:space="preserve">• </w:t>
      </w:r>
      <w:r w:rsidRPr="00EC0AFF">
        <w:rPr>
          <w:b/>
          <w:sz w:val="22"/>
          <w:lang w:val="es-ES"/>
        </w:rPr>
        <w:t>Disponibilidad:</w:t>
      </w:r>
      <w:r w:rsidRPr="00EC0AFF">
        <w:rPr>
          <w:sz w:val="22"/>
          <w:lang w:val="es-ES"/>
        </w:rPr>
        <w:t xml:space="preserve"> los servicios deben estar accesibles cuando son necesarios, con medidas de continuidad y recuperación.</w:t>
      </w:r>
    </w:p>
    <w:p w:rsidR="00161E0E" w:rsidRPr="00EC0AFF" w:rsidRDefault="00EC0AFF">
      <w:pPr>
        <w:pStyle w:val="T68Bullet"/>
        <w:rPr>
          <w:sz w:val="22"/>
          <w:lang w:val="es-ES"/>
        </w:rPr>
      </w:pPr>
      <w:r w:rsidRPr="00EC0AFF">
        <w:rPr>
          <w:sz w:val="22"/>
          <w:lang w:val="es-ES"/>
        </w:rPr>
        <w:t xml:space="preserve">• </w:t>
      </w:r>
      <w:r w:rsidRPr="00EC0AFF">
        <w:rPr>
          <w:b/>
          <w:sz w:val="22"/>
          <w:lang w:val="es-ES"/>
        </w:rPr>
        <w:t>Trazabilidad:</w:t>
      </w:r>
      <w:r w:rsidRPr="00EC0AFF">
        <w:rPr>
          <w:sz w:val="22"/>
          <w:lang w:val="es-ES"/>
        </w:rPr>
        <w:t xml:space="preserve"> deben conservarse evidencias de solicitudes, respuestas, accesos y operaciones relevantes.</w:t>
      </w:r>
    </w:p>
    <w:p w:rsidR="00161E0E" w:rsidRPr="00EC0AFF" w:rsidRDefault="00EC0AFF">
      <w:pPr>
        <w:pStyle w:val="T68Bullet"/>
        <w:rPr>
          <w:sz w:val="22"/>
          <w:lang w:val="es-ES"/>
        </w:rPr>
      </w:pPr>
      <w:r w:rsidRPr="00EC0AFF">
        <w:rPr>
          <w:sz w:val="22"/>
          <w:lang w:val="es-ES"/>
        </w:rPr>
        <w:t xml:space="preserve">• </w:t>
      </w:r>
      <w:r w:rsidRPr="00EC0AFF">
        <w:rPr>
          <w:b/>
          <w:sz w:val="22"/>
          <w:lang w:val="es-ES"/>
        </w:rPr>
        <w:t>Minimización y finalidad:</w:t>
      </w:r>
      <w:r w:rsidRPr="00EC0AFF">
        <w:rPr>
          <w:sz w:val="22"/>
          <w:lang w:val="es-ES"/>
        </w:rPr>
        <w:t xml:space="preserve"> se deben tratar los datos adecuados y necesarios para la finalidad administrativa o asistencial correspondiente.</w:t>
      </w:r>
    </w:p>
    <w:p w:rsidR="00161E0E" w:rsidRPr="00EC0AFF" w:rsidRDefault="00EC0AFF">
      <w:pPr>
        <w:pStyle w:val="T68Body"/>
        <w:rPr>
          <w:sz w:val="22"/>
          <w:lang w:val="es-ES"/>
        </w:rPr>
      </w:pPr>
      <w:r w:rsidRPr="00EC0AFF">
        <w:rPr>
          <w:sz w:val="22"/>
          <w:lang w:val="es-ES"/>
        </w:rPr>
        <w:t xml:space="preserve">En materia de datos personales son de referencia el Reglamento General de Protección de Datos (RGPD) y la Ley Orgánica 3/2018. En el sector público, las medidas de seguridad se complementan </w:t>
      </w:r>
      <w:r w:rsidRPr="00EC0AFF">
        <w:rPr>
          <w:sz w:val="22"/>
          <w:lang w:val="es-ES"/>
        </w:rPr>
        <w:lastRenderedPageBreak/>
        <w:t>con el Esquema Nacional de Seguridad y con los requisitos específicos de los servicios de intermediación y de cada organismo cedente.</w:t>
      </w:r>
    </w:p>
    <w:p w:rsidR="00161E0E" w:rsidRDefault="00EC0AFF" w:rsidP="00EC0AFF">
      <w:pPr>
        <w:pStyle w:val="Ttulo1"/>
      </w:pPr>
      <w:bookmarkStart w:id="13" w:name="_Toc240909677"/>
      <w:r w:rsidRPr="00EC0AFF">
        <w:t>13. CUADRO RESUMEN PARA MEMORIZAR</w:t>
      </w:r>
      <w:bookmarkEnd w:id="13"/>
    </w:p>
    <w:p w:rsidR="00EC0AFF" w:rsidRPr="00EC0AFF" w:rsidRDefault="00EC0AFF" w:rsidP="00EC0AFF"/>
    <w:tbl>
      <w:tblPr>
        <w:tblStyle w:val="Tablaconcuadrcula"/>
        <w:tblW w:w="0" w:type="auto"/>
        <w:jc w:val="center"/>
        <w:tblLook w:val="04A0" w:firstRow="1" w:lastRow="0" w:firstColumn="1" w:lastColumn="0" w:noHBand="0" w:noVBand="1"/>
      </w:tblPr>
      <w:tblGrid>
        <w:gridCol w:w="3267"/>
        <w:gridCol w:w="3267"/>
        <w:gridCol w:w="3267"/>
      </w:tblGrid>
      <w:tr w:rsidR="00161E0E" w:rsidRPr="00EC0AFF">
        <w:trPr>
          <w:jc w:val="center"/>
        </w:trPr>
        <w:tc>
          <w:tcPr>
            <w:tcW w:w="3267" w:type="dxa"/>
            <w:shd w:val="clear" w:color="auto" w:fill="EDEDED"/>
          </w:tcPr>
          <w:p w:rsidR="00161E0E" w:rsidRPr="00EC0AFF" w:rsidRDefault="00EC0AFF">
            <w:pPr>
              <w:pStyle w:val="T68Small"/>
              <w:rPr>
                <w:sz w:val="22"/>
              </w:rPr>
            </w:pPr>
            <w:r w:rsidRPr="00EC0AFF">
              <w:rPr>
                <w:b/>
                <w:sz w:val="22"/>
              </w:rPr>
              <w:t>Concepto</w:t>
            </w:r>
          </w:p>
        </w:tc>
        <w:tc>
          <w:tcPr>
            <w:tcW w:w="3267" w:type="dxa"/>
            <w:shd w:val="clear" w:color="auto" w:fill="EDEDED"/>
          </w:tcPr>
          <w:p w:rsidR="00161E0E" w:rsidRPr="00EC0AFF" w:rsidRDefault="00EC0AFF">
            <w:pPr>
              <w:pStyle w:val="T68Small"/>
              <w:rPr>
                <w:sz w:val="22"/>
              </w:rPr>
            </w:pPr>
            <w:r w:rsidRPr="00EC0AFF">
              <w:rPr>
                <w:b/>
                <w:sz w:val="22"/>
              </w:rPr>
              <w:t>Ejemplos</w:t>
            </w:r>
          </w:p>
        </w:tc>
        <w:tc>
          <w:tcPr>
            <w:tcW w:w="3267" w:type="dxa"/>
            <w:shd w:val="clear" w:color="auto" w:fill="EDEDED"/>
          </w:tcPr>
          <w:p w:rsidR="00161E0E" w:rsidRPr="00EC0AFF" w:rsidRDefault="00EC0AFF">
            <w:pPr>
              <w:pStyle w:val="T68Small"/>
              <w:rPr>
                <w:sz w:val="22"/>
              </w:rPr>
            </w:pPr>
            <w:r w:rsidRPr="00EC0AFF">
              <w:rPr>
                <w:b/>
                <w:sz w:val="22"/>
              </w:rPr>
              <w:t>Qué debes asociar</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EDI</w:t>
            </w:r>
          </w:p>
        </w:tc>
        <w:tc>
          <w:tcPr>
            <w:tcW w:w="3267" w:type="dxa"/>
          </w:tcPr>
          <w:p w:rsidR="00161E0E" w:rsidRPr="00EC0AFF" w:rsidRDefault="00EC0AFF">
            <w:pPr>
              <w:pStyle w:val="T68Small"/>
              <w:rPr>
                <w:sz w:val="22"/>
              </w:rPr>
            </w:pPr>
            <w:r w:rsidRPr="00EC0AFF">
              <w:rPr>
                <w:sz w:val="22"/>
              </w:rPr>
              <w:t>UN/EDIFACT, X12</w:t>
            </w:r>
          </w:p>
        </w:tc>
        <w:tc>
          <w:tcPr>
            <w:tcW w:w="3267" w:type="dxa"/>
          </w:tcPr>
          <w:p w:rsidR="00161E0E" w:rsidRPr="00EC0AFF" w:rsidRDefault="00EC0AFF">
            <w:pPr>
              <w:pStyle w:val="T68Small"/>
              <w:rPr>
                <w:sz w:val="22"/>
                <w:lang w:val="es-ES"/>
              </w:rPr>
            </w:pPr>
            <w:r w:rsidRPr="00EC0AFF">
              <w:rPr>
                <w:sz w:val="22"/>
                <w:lang w:val="es-ES"/>
              </w:rPr>
              <w:t>Intercambio automático de documentos estructurados.</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Mensajes</w:t>
            </w:r>
            <w:proofErr w:type="spellEnd"/>
            <w:r w:rsidRPr="00EC0AFF">
              <w:rPr>
                <w:sz w:val="22"/>
              </w:rPr>
              <w:t xml:space="preserve"> SAS</w:t>
            </w:r>
          </w:p>
        </w:tc>
        <w:tc>
          <w:tcPr>
            <w:tcW w:w="3267" w:type="dxa"/>
          </w:tcPr>
          <w:p w:rsidR="00161E0E" w:rsidRPr="00EC0AFF" w:rsidRDefault="00EC0AFF">
            <w:pPr>
              <w:pStyle w:val="T68Small"/>
              <w:rPr>
                <w:sz w:val="22"/>
              </w:rPr>
            </w:pPr>
            <w:r w:rsidRPr="00EC0AFF">
              <w:rPr>
                <w:sz w:val="22"/>
              </w:rPr>
              <w:t>ORDERS D96A, DESADV D96A, RECADV D96A, INVOIC D93A, GENRAL D96A</w:t>
            </w:r>
          </w:p>
        </w:tc>
        <w:tc>
          <w:tcPr>
            <w:tcW w:w="3267" w:type="dxa"/>
          </w:tcPr>
          <w:p w:rsidR="00161E0E" w:rsidRPr="00EC0AFF" w:rsidRDefault="00EC0AFF">
            <w:pPr>
              <w:pStyle w:val="T68Small"/>
              <w:rPr>
                <w:sz w:val="22"/>
                <w:lang w:val="es-ES"/>
              </w:rPr>
            </w:pPr>
            <w:r w:rsidRPr="00EC0AFF">
              <w:rPr>
                <w:sz w:val="22"/>
                <w:lang w:val="es-ES"/>
              </w:rPr>
              <w:t>Pedido → expedición → recepción → factura → incidencias.</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Logística</w:t>
            </w:r>
            <w:proofErr w:type="spellEnd"/>
          </w:p>
        </w:tc>
        <w:tc>
          <w:tcPr>
            <w:tcW w:w="3267" w:type="dxa"/>
          </w:tcPr>
          <w:p w:rsidR="00161E0E" w:rsidRPr="00EC0AFF" w:rsidRDefault="00EC0AFF">
            <w:pPr>
              <w:pStyle w:val="T68Small"/>
              <w:rPr>
                <w:sz w:val="22"/>
              </w:rPr>
            </w:pPr>
            <w:r w:rsidRPr="00EC0AFF">
              <w:rPr>
                <w:sz w:val="22"/>
              </w:rPr>
              <w:t>GS1, GTIN/EAN</w:t>
            </w:r>
          </w:p>
        </w:tc>
        <w:tc>
          <w:tcPr>
            <w:tcW w:w="3267" w:type="dxa"/>
          </w:tcPr>
          <w:p w:rsidR="00161E0E" w:rsidRPr="00EC0AFF" w:rsidRDefault="00EC0AFF">
            <w:pPr>
              <w:pStyle w:val="T68Small"/>
              <w:rPr>
                <w:sz w:val="22"/>
                <w:lang w:val="es-ES"/>
              </w:rPr>
            </w:pPr>
            <w:r w:rsidRPr="00EC0AFF">
              <w:rPr>
                <w:sz w:val="22"/>
                <w:lang w:val="es-ES"/>
              </w:rPr>
              <w:t>Identificación normalizada de productos y unidades logísticas.</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Datos</w:t>
            </w:r>
            <w:proofErr w:type="spellEnd"/>
            <w:r w:rsidRPr="00EC0AFF">
              <w:rPr>
                <w:sz w:val="22"/>
              </w:rPr>
              <w:t xml:space="preserve"> </w:t>
            </w:r>
            <w:proofErr w:type="spellStart"/>
            <w:r w:rsidRPr="00EC0AFF">
              <w:rPr>
                <w:sz w:val="22"/>
              </w:rPr>
              <w:t>estructurados</w:t>
            </w:r>
            <w:proofErr w:type="spellEnd"/>
          </w:p>
        </w:tc>
        <w:tc>
          <w:tcPr>
            <w:tcW w:w="3267" w:type="dxa"/>
          </w:tcPr>
          <w:p w:rsidR="00161E0E" w:rsidRPr="00EC0AFF" w:rsidRDefault="00EC0AFF">
            <w:pPr>
              <w:pStyle w:val="T68Small"/>
              <w:rPr>
                <w:sz w:val="22"/>
              </w:rPr>
            </w:pPr>
            <w:r w:rsidRPr="00EC0AFF">
              <w:rPr>
                <w:sz w:val="22"/>
              </w:rPr>
              <w:t>XML, JSON, CSV</w:t>
            </w:r>
          </w:p>
        </w:tc>
        <w:tc>
          <w:tcPr>
            <w:tcW w:w="3267" w:type="dxa"/>
          </w:tcPr>
          <w:p w:rsidR="00161E0E" w:rsidRPr="00EC0AFF" w:rsidRDefault="00EC0AFF">
            <w:pPr>
              <w:pStyle w:val="T68Small"/>
              <w:rPr>
                <w:sz w:val="22"/>
                <w:lang w:val="es-ES"/>
              </w:rPr>
            </w:pPr>
            <w:r w:rsidRPr="00EC0AFF">
              <w:rPr>
                <w:sz w:val="22"/>
                <w:lang w:val="es-ES"/>
              </w:rPr>
              <w:t>Representación e intercambio de información.</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XML</w:t>
            </w:r>
          </w:p>
        </w:tc>
        <w:tc>
          <w:tcPr>
            <w:tcW w:w="3267" w:type="dxa"/>
          </w:tcPr>
          <w:p w:rsidR="00161E0E" w:rsidRPr="00EC0AFF" w:rsidRDefault="00EC0AFF">
            <w:pPr>
              <w:pStyle w:val="T68Small"/>
              <w:rPr>
                <w:sz w:val="22"/>
              </w:rPr>
            </w:pPr>
            <w:r w:rsidRPr="00EC0AFF">
              <w:rPr>
                <w:sz w:val="22"/>
              </w:rPr>
              <w:t>XSD, namespaces</w:t>
            </w:r>
          </w:p>
        </w:tc>
        <w:tc>
          <w:tcPr>
            <w:tcW w:w="3267" w:type="dxa"/>
          </w:tcPr>
          <w:p w:rsidR="00161E0E" w:rsidRPr="00EC0AFF" w:rsidRDefault="00EC0AFF">
            <w:pPr>
              <w:pStyle w:val="T68Small"/>
              <w:rPr>
                <w:sz w:val="22"/>
              </w:rPr>
            </w:pPr>
            <w:r w:rsidRPr="00EC0AFF">
              <w:rPr>
                <w:sz w:val="22"/>
              </w:rPr>
              <w:t>Estructura, validación y vocabularios.</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Transporte</w:t>
            </w:r>
          </w:p>
        </w:tc>
        <w:tc>
          <w:tcPr>
            <w:tcW w:w="3267" w:type="dxa"/>
          </w:tcPr>
          <w:p w:rsidR="00161E0E" w:rsidRPr="00EC0AFF" w:rsidRDefault="00EC0AFF">
            <w:pPr>
              <w:pStyle w:val="T68Small"/>
              <w:rPr>
                <w:sz w:val="22"/>
              </w:rPr>
            </w:pPr>
            <w:r w:rsidRPr="00EC0AFF">
              <w:rPr>
                <w:sz w:val="22"/>
              </w:rPr>
              <w:t>AS2, SFTP, HTTPS</w:t>
            </w:r>
          </w:p>
        </w:tc>
        <w:tc>
          <w:tcPr>
            <w:tcW w:w="3267" w:type="dxa"/>
          </w:tcPr>
          <w:p w:rsidR="00161E0E" w:rsidRPr="00EC0AFF" w:rsidRDefault="00EC0AFF">
            <w:pPr>
              <w:pStyle w:val="T68Small"/>
              <w:rPr>
                <w:sz w:val="22"/>
                <w:lang w:val="es-ES"/>
              </w:rPr>
            </w:pPr>
            <w:r w:rsidRPr="00EC0AFF">
              <w:rPr>
                <w:sz w:val="22"/>
                <w:lang w:val="es-ES"/>
              </w:rPr>
              <w:t>Envío seguro de mensajes o ficheros.</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Servicios</w:t>
            </w:r>
            <w:proofErr w:type="spellEnd"/>
            <w:r w:rsidRPr="00EC0AFF">
              <w:rPr>
                <w:sz w:val="22"/>
              </w:rPr>
              <w:t xml:space="preserve"> web</w:t>
            </w:r>
          </w:p>
        </w:tc>
        <w:tc>
          <w:tcPr>
            <w:tcW w:w="3267" w:type="dxa"/>
          </w:tcPr>
          <w:p w:rsidR="00161E0E" w:rsidRPr="00EC0AFF" w:rsidRDefault="00EC0AFF">
            <w:pPr>
              <w:pStyle w:val="T68Small"/>
              <w:rPr>
                <w:sz w:val="22"/>
              </w:rPr>
            </w:pPr>
            <w:r w:rsidRPr="00EC0AFF">
              <w:rPr>
                <w:sz w:val="22"/>
              </w:rPr>
              <w:t>SOAP, REST/API</w:t>
            </w:r>
          </w:p>
        </w:tc>
        <w:tc>
          <w:tcPr>
            <w:tcW w:w="3267" w:type="dxa"/>
          </w:tcPr>
          <w:p w:rsidR="00161E0E" w:rsidRPr="00EC0AFF" w:rsidRDefault="00EC0AFF">
            <w:pPr>
              <w:pStyle w:val="T68Small"/>
              <w:rPr>
                <w:sz w:val="22"/>
              </w:rPr>
            </w:pPr>
            <w:r w:rsidRPr="00EC0AFF">
              <w:rPr>
                <w:sz w:val="22"/>
              </w:rPr>
              <w:t>Integración entre aplicaciones.</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Sanidad</w:t>
            </w:r>
          </w:p>
        </w:tc>
        <w:tc>
          <w:tcPr>
            <w:tcW w:w="3267" w:type="dxa"/>
          </w:tcPr>
          <w:p w:rsidR="00161E0E" w:rsidRPr="00EC0AFF" w:rsidRDefault="00EC0AFF">
            <w:pPr>
              <w:pStyle w:val="T68Small"/>
              <w:rPr>
                <w:sz w:val="22"/>
              </w:rPr>
            </w:pPr>
            <w:r w:rsidRPr="00EC0AFF">
              <w:rPr>
                <w:sz w:val="22"/>
              </w:rPr>
              <w:t>HL7, FHIR, DICOM</w:t>
            </w:r>
          </w:p>
        </w:tc>
        <w:tc>
          <w:tcPr>
            <w:tcW w:w="3267" w:type="dxa"/>
          </w:tcPr>
          <w:p w:rsidR="00161E0E" w:rsidRPr="00EC0AFF" w:rsidRDefault="00EC0AFF">
            <w:pPr>
              <w:pStyle w:val="T68Small"/>
              <w:rPr>
                <w:sz w:val="22"/>
                <w:lang w:val="es-ES"/>
              </w:rPr>
            </w:pPr>
            <w:r w:rsidRPr="00EC0AFF">
              <w:rPr>
                <w:sz w:val="22"/>
                <w:lang w:val="es-ES"/>
              </w:rPr>
              <w:t>Mensajería/recursos clínicos e imagen médica.</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Semántica</w:t>
            </w:r>
            <w:proofErr w:type="spellEnd"/>
          </w:p>
        </w:tc>
        <w:tc>
          <w:tcPr>
            <w:tcW w:w="3267" w:type="dxa"/>
          </w:tcPr>
          <w:p w:rsidR="00161E0E" w:rsidRPr="00EC0AFF" w:rsidRDefault="00EC0AFF">
            <w:pPr>
              <w:pStyle w:val="T68Small"/>
              <w:rPr>
                <w:sz w:val="22"/>
              </w:rPr>
            </w:pPr>
            <w:r w:rsidRPr="00EC0AFF">
              <w:rPr>
                <w:sz w:val="22"/>
              </w:rPr>
              <w:t>SNOMED CT, LOINC</w:t>
            </w:r>
          </w:p>
        </w:tc>
        <w:tc>
          <w:tcPr>
            <w:tcW w:w="3267" w:type="dxa"/>
          </w:tcPr>
          <w:p w:rsidR="00161E0E" w:rsidRPr="00EC0AFF" w:rsidRDefault="00EC0AFF">
            <w:pPr>
              <w:pStyle w:val="T68Small"/>
              <w:rPr>
                <w:sz w:val="22"/>
              </w:rPr>
            </w:pPr>
            <w:r w:rsidRPr="00EC0AFF">
              <w:rPr>
                <w:sz w:val="22"/>
              </w:rPr>
              <w:t>Significado clínico común.</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SCSP/PID</w:t>
            </w:r>
          </w:p>
        </w:tc>
        <w:tc>
          <w:tcPr>
            <w:tcW w:w="3267" w:type="dxa"/>
          </w:tcPr>
          <w:p w:rsidR="00161E0E" w:rsidRPr="00EC0AFF" w:rsidRDefault="00EC0AFF">
            <w:pPr>
              <w:pStyle w:val="T68Small"/>
              <w:rPr>
                <w:sz w:val="22"/>
              </w:rPr>
            </w:pPr>
            <w:r w:rsidRPr="00EC0AFF">
              <w:rPr>
                <w:sz w:val="22"/>
              </w:rPr>
              <w:t>Ley 39/2015 art. 28; RD 203/2021 art. 62</w:t>
            </w:r>
          </w:p>
        </w:tc>
        <w:tc>
          <w:tcPr>
            <w:tcW w:w="3267" w:type="dxa"/>
          </w:tcPr>
          <w:p w:rsidR="00161E0E" w:rsidRPr="00EC0AFF" w:rsidRDefault="00EC0AFF">
            <w:pPr>
              <w:pStyle w:val="T68Small"/>
              <w:rPr>
                <w:sz w:val="22"/>
                <w:lang w:val="es-ES"/>
              </w:rPr>
            </w:pPr>
            <w:r w:rsidRPr="00EC0AFF">
              <w:rPr>
                <w:sz w:val="22"/>
                <w:lang w:val="es-ES"/>
              </w:rPr>
              <w:t>No pedir al ciudadano datos que la Administración puede recabar.</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Andalucía</w:t>
            </w:r>
          </w:p>
        </w:tc>
        <w:tc>
          <w:tcPr>
            <w:tcW w:w="3267" w:type="dxa"/>
          </w:tcPr>
          <w:p w:rsidR="00161E0E" w:rsidRPr="00EC0AFF" w:rsidRDefault="00EC0AFF">
            <w:pPr>
              <w:pStyle w:val="T68Small"/>
              <w:rPr>
                <w:sz w:val="22"/>
              </w:rPr>
            </w:pPr>
            <w:r w:rsidRPr="00EC0AFF">
              <w:rPr>
                <w:sz w:val="22"/>
              </w:rPr>
              <w:t>NEREA</w:t>
            </w:r>
          </w:p>
        </w:tc>
        <w:tc>
          <w:tcPr>
            <w:tcW w:w="3267" w:type="dxa"/>
          </w:tcPr>
          <w:p w:rsidR="00161E0E" w:rsidRPr="00EC0AFF" w:rsidRDefault="00EC0AFF">
            <w:pPr>
              <w:pStyle w:val="T68Small"/>
              <w:rPr>
                <w:sz w:val="22"/>
                <w:lang w:val="es-ES"/>
              </w:rPr>
            </w:pPr>
            <w:r w:rsidRPr="00EC0AFF">
              <w:rPr>
                <w:sz w:val="22"/>
                <w:lang w:val="es-ES"/>
              </w:rPr>
              <w:t>Red interadministrativa andaluza conectada a SARA.</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España</w:t>
            </w:r>
            <w:proofErr w:type="spellEnd"/>
          </w:p>
        </w:tc>
        <w:tc>
          <w:tcPr>
            <w:tcW w:w="3267" w:type="dxa"/>
          </w:tcPr>
          <w:p w:rsidR="00161E0E" w:rsidRPr="00EC0AFF" w:rsidRDefault="00EC0AFF">
            <w:pPr>
              <w:pStyle w:val="T68Small"/>
              <w:rPr>
                <w:sz w:val="22"/>
              </w:rPr>
            </w:pPr>
            <w:r w:rsidRPr="00EC0AFF">
              <w:rPr>
                <w:sz w:val="22"/>
              </w:rPr>
              <w:t>SARA, HCDSNS, RESNS, SIR</w:t>
            </w:r>
          </w:p>
        </w:tc>
        <w:tc>
          <w:tcPr>
            <w:tcW w:w="3267" w:type="dxa"/>
          </w:tcPr>
          <w:p w:rsidR="00161E0E" w:rsidRPr="00EC0AFF" w:rsidRDefault="00EC0AFF">
            <w:pPr>
              <w:pStyle w:val="T68Small"/>
              <w:rPr>
                <w:sz w:val="22"/>
              </w:rPr>
            </w:pPr>
            <w:r w:rsidRPr="00EC0AFF">
              <w:rPr>
                <w:sz w:val="22"/>
              </w:rPr>
              <w:t>Interconexión administrativa y sanitaria.</w:t>
            </w:r>
          </w:p>
        </w:tc>
      </w:tr>
      <w:tr w:rsidR="00161E0E" w:rsidRPr="00EC0AFF">
        <w:trPr>
          <w:cantSplit/>
          <w:jc w:val="center"/>
        </w:trPr>
        <w:tc>
          <w:tcPr>
            <w:tcW w:w="3267" w:type="dxa"/>
          </w:tcPr>
          <w:p w:rsidR="00161E0E" w:rsidRPr="00EC0AFF" w:rsidRDefault="00EC0AFF">
            <w:pPr>
              <w:pStyle w:val="T68Small"/>
              <w:rPr>
                <w:sz w:val="22"/>
              </w:rPr>
            </w:pPr>
            <w:r w:rsidRPr="00EC0AFF">
              <w:rPr>
                <w:sz w:val="22"/>
              </w:rPr>
              <w:t>Europa</w:t>
            </w:r>
          </w:p>
        </w:tc>
        <w:tc>
          <w:tcPr>
            <w:tcW w:w="3267" w:type="dxa"/>
          </w:tcPr>
          <w:p w:rsidR="00161E0E" w:rsidRPr="00EC0AFF" w:rsidRDefault="00EC0AFF">
            <w:pPr>
              <w:pStyle w:val="T68Small"/>
              <w:rPr>
                <w:sz w:val="22"/>
              </w:rPr>
            </w:pPr>
            <w:r w:rsidRPr="00EC0AFF">
              <w:rPr>
                <w:sz w:val="22"/>
              </w:rPr>
              <w:t>EESSI, MyHealth@EU, EHDS</w:t>
            </w:r>
          </w:p>
        </w:tc>
        <w:tc>
          <w:tcPr>
            <w:tcW w:w="3267" w:type="dxa"/>
          </w:tcPr>
          <w:p w:rsidR="00161E0E" w:rsidRPr="00EC0AFF" w:rsidRDefault="00EC0AFF">
            <w:pPr>
              <w:pStyle w:val="T68Small"/>
              <w:rPr>
                <w:sz w:val="22"/>
                <w:lang w:val="es-ES"/>
              </w:rPr>
            </w:pPr>
            <w:r w:rsidRPr="00EC0AFF">
              <w:rPr>
                <w:sz w:val="22"/>
                <w:lang w:val="es-ES"/>
              </w:rPr>
              <w:t>Intercambios transfronterizos y espacio europeo de datos.</w:t>
            </w:r>
          </w:p>
        </w:tc>
      </w:tr>
      <w:tr w:rsidR="00161E0E" w:rsidRPr="00EC0AFF">
        <w:trPr>
          <w:cantSplit/>
          <w:jc w:val="center"/>
        </w:trPr>
        <w:tc>
          <w:tcPr>
            <w:tcW w:w="3267" w:type="dxa"/>
          </w:tcPr>
          <w:p w:rsidR="00161E0E" w:rsidRPr="00EC0AFF" w:rsidRDefault="00EC0AFF">
            <w:pPr>
              <w:pStyle w:val="T68Small"/>
              <w:rPr>
                <w:sz w:val="22"/>
              </w:rPr>
            </w:pPr>
            <w:proofErr w:type="spellStart"/>
            <w:r w:rsidRPr="00EC0AFF">
              <w:rPr>
                <w:sz w:val="22"/>
              </w:rPr>
              <w:t>Otros</w:t>
            </w:r>
            <w:proofErr w:type="spellEnd"/>
            <w:r w:rsidRPr="00EC0AFF">
              <w:rPr>
                <w:sz w:val="22"/>
              </w:rPr>
              <w:t xml:space="preserve"> test</w:t>
            </w:r>
          </w:p>
        </w:tc>
        <w:tc>
          <w:tcPr>
            <w:tcW w:w="3267" w:type="dxa"/>
          </w:tcPr>
          <w:p w:rsidR="00161E0E" w:rsidRPr="00EC0AFF" w:rsidRDefault="00EC0AFF">
            <w:pPr>
              <w:pStyle w:val="T68Small"/>
              <w:rPr>
                <w:sz w:val="22"/>
              </w:rPr>
            </w:pPr>
            <w:r w:rsidRPr="00EC0AFF">
              <w:rPr>
                <w:sz w:val="22"/>
              </w:rPr>
              <w:t>ISO 20022, KML, RDF/SPARQL, PDF</w:t>
            </w:r>
          </w:p>
        </w:tc>
        <w:tc>
          <w:tcPr>
            <w:tcW w:w="3267" w:type="dxa"/>
          </w:tcPr>
          <w:p w:rsidR="00161E0E" w:rsidRPr="00EC0AFF" w:rsidRDefault="00EC0AFF">
            <w:pPr>
              <w:pStyle w:val="T68Small"/>
              <w:rPr>
                <w:sz w:val="22"/>
                <w:lang w:val="es-ES"/>
              </w:rPr>
            </w:pPr>
            <w:r w:rsidRPr="00EC0AFF">
              <w:rPr>
                <w:sz w:val="22"/>
                <w:lang w:val="es-ES"/>
              </w:rPr>
              <w:t xml:space="preserve">Finanzas; </w:t>
            </w:r>
            <w:proofErr w:type="spellStart"/>
            <w:r w:rsidRPr="00EC0AFF">
              <w:rPr>
                <w:sz w:val="22"/>
                <w:lang w:val="es-ES"/>
              </w:rPr>
              <w:t>geodatos</w:t>
            </w:r>
            <w:proofErr w:type="spellEnd"/>
            <w:r w:rsidRPr="00EC0AFF">
              <w:rPr>
                <w:sz w:val="22"/>
                <w:lang w:val="es-ES"/>
              </w:rPr>
              <w:t>; web semántica; documento de apariencia fija.</w:t>
            </w:r>
          </w:p>
        </w:tc>
      </w:tr>
    </w:tbl>
    <w:p w:rsidR="00161E0E" w:rsidRDefault="00EC0AFF" w:rsidP="00EC0AFF">
      <w:pPr>
        <w:pStyle w:val="Ttulo1"/>
        <w:rPr>
          <w:lang w:val="es-ES"/>
        </w:rPr>
      </w:pPr>
      <w:bookmarkStart w:id="14" w:name="_Toc240909678"/>
      <w:r w:rsidRPr="00EC0AFF">
        <w:rPr>
          <w:lang w:val="es-ES"/>
        </w:rPr>
        <w:t>14. IDEAS CLAVE PARA EL EXAMEN</w:t>
      </w:r>
      <w:bookmarkEnd w:id="14"/>
    </w:p>
    <w:p w:rsidR="00EC0AFF" w:rsidRPr="00EC0AFF" w:rsidRDefault="00EC0AFF" w:rsidP="00EC0AFF">
      <w:pPr>
        <w:rPr>
          <w:lang w:val="es-ES"/>
        </w:rPr>
      </w:pPr>
    </w:p>
    <w:p w:rsidR="00161E0E" w:rsidRPr="00EC0AFF" w:rsidRDefault="00EC0AFF">
      <w:pPr>
        <w:pStyle w:val="T68Bullet"/>
        <w:rPr>
          <w:sz w:val="22"/>
          <w:lang w:val="es-ES"/>
        </w:rPr>
      </w:pPr>
      <w:r w:rsidRPr="00EC0AFF">
        <w:rPr>
          <w:sz w:val="22"/>
          <w:lang w:val="es-ES"/>
        </w:rPr>
        <w:t>• EDI es un modelo de intercambio estructurado; EDIFACT es un estándar EDI.</w:t>
      </w:r>
    </w:p>
    <w:p w:rsidR="00161E0E" w:rsidRPr="00EC0AFF" w:rsidRDefault="00EC0AFF">
      <w:pPr>
        <w:pStyle w:val="T68Bullet"/>
        <w:rPr>
          <w:sz w:val="22"/>
          <w:lang w:val="es-ES"/>
        </w:rPr>
      </w:pPr>
      <w:r w:rsidRPr="00EC0AFF">
        <w:rPr>
          <w:sz w:val="22"/>
          <w:lang w:val="es-ES"/>
        </w:rPr>
        <w:t>• XML y JSON son formatos/lenguajes de representación de datos; SOAP es un protocolo de mensajería; REST es un estilo arquitectónico; SFTP y AS2 son mecanismos de transporte.</w:t>
      </w:r>
    </w:p>
    <w:p w:rsidR="00161E0E" w:rsidRPr="00EC0AFF" w:rsidRDefault="00EC0AFF">
      <w:pPr>
        <w:pStyle w:val="T68Bullet"/>
        <w:rPr>
          <w:sz w:val="22"/>
          <w:lang w:val="es-ES"/>
        </w:rPr>
      </w:pPr>
      <w:r w:rsidRPr="00EC0AFF">
        <w:rPr>
          <w:sz w:val="22"/>
          <w:lang w:val="es-ES"/>
        </w:rPr>
        <w:t>• ISO 20022 se asocia principalmente con mensajes financieros; ODETTE con automoción; HL7 con salud.</w:t>
      </w:r>
    </w:p>
    <w:p w:rsidR="00161E0E" w:rsidRPr="00EC0AFF" w:rsidRDefault="00EC0AFF">
      <w:pPr>
        <w:pStyle w:val="T68Bullet"/>
        <w:rPr>
          <w:sz w:val="22"/>
          <w:lang w:val="es-ES"/>
        </w:rPr>
      </w:pPr>
      <w:r w:rsidRPr="00EC0AFF">
        <w:rPr>
          <w:sz w:val="22"/>
          <w:lang w:val="es-ES"/>
        </w:rPr>
        <w:t xml:space="preserve">• KML es XML para información geográfica y se asocia habitualmente con Google </w:t>
      </w:r>
      <w:proofErr w:type="spellStart"/>
      <w:r w:rsidRPr="00EC0AFF">
        <w:rPr>
          <w:sz w:val="22"/>
          <w:lang w:val="es-ES"/>
        </w:rPr>
        <w:t>Earth</w:t>
      </w:r>
      <w:proofErr w:type="spellEnd"/>
      <w:r w:rsidRPr="00EC0AFF">
        <w:rPr>
          <w:sz w:val="22"/>
          <w:lang w:val="es-ES"/>
        </w:rPr>
        <w:t>; SPARQL consulta datos RDF.</w:t>
      </w:r>
    </w:p>
    <w:p w:rsidR="00161E0E" w:rsidRPr="00EC0AFF" w:rsidRDefault="00EC0AFF">
      <w:pPr>
        <w:pStyle w:val="T68Bullet"/>
        <w:rPr>
          <w:sz w:val="22"/>
          <w:lang w:val="es-ES"/>
        </w:rPr>
      </w:pPr>
      <w:r w:rsidRPr="00EC0AFF">
        <w:rPr>
          <w:sz w:val="22"/>
          <w:lang w:val="es-ES"/>
        </w:rPr>
        <w:lastRenderedPageBreak/>
        <w:t>• Ley 39/2015 art. 28 = derecho a no aportar documentos ya disponibles; RD 203/2021 art. 62 = plataformas de intermediación.</w:t>
      </w:r>
    </w:p>
    <w:p w:rsidR="00161E0E" w:rsidRPr="00EC0AFF" w:rsidRDefault="00EC0AFF">
      <w:pPr>
        <w:pStyle w:val="T68Bullet"/>
        <w:rPr>
          <w:sz w:val="22"/>
          <w:lang w:val="es-ES"/>
        </w:rPr>
      </w:pPr>
      <w:r w:rsidRPr="00EC0AFF">
        <w:rPr>
          <w:sz w:val="22"/>
          <w:lang w:val="es-ES"/>
        </w:rPr>
        <w:t>• SCSP define intercambios para sustituir certificados en papel; la PID intermedia consultas de datos entre organismos.</w:t>
      </w:r>
    </w:p>
    <w:p w:rsidR="00161E0E" w:rsidRPr="00EC0AFF" w:rsidRDefault="00EC0AFF">
      <w:pPr>
        <w:pStyle w:val="T68Bullet"/>
        <w:rPr>
          <w:sz w:val="22"/>
          <w:lang w:val="es-ES"/>
        </w:rPr>
      </w:pPr>
      <w:r w:rsidRPr="00EC0AFF">
        <w:rPr>
          <w:sz w:val="22"/>
          <w:lang w:val="es-ES"/>
        </w:rPr>
        <w:t>• NEREA es la red interadministrativa de Andalucía y se conecta con SARA.</w:t>
      </w:r>
    </w:p>
    <w:p w:rsidR="00161E0E" w:rsidRPr="00EC0AFF" w:rsidRDefault="00EC0AFF">
      <w:pPr>
        <w:pStyle w:val="T68Bullet"/>
        <w:rPr>
          <w:sz w:val="22"/>
          <w:lang w:val="es-ES"/>
        </w:rPr>
      </w:pPr>
      <w:r w:rsidRPr="00EC0AFF">
        <w:rPr>
          <w:sz w:val="22"/>
          <w:lang w:val="es-ES"/>
        </w:rPr>
        <w:t>• SARA es infraestructura de comunicaciones y acceso a servicios; no debe confundirse con los servicios que transporta.</w:t>
      </w:r>
    </w:p>
    <w:p w:rsidR="00161E0E" w:rsidRPr="00EC0AFF" w:rsidRDefault="00EC0AFF">
      <w:pPr>
        <w:pStyle w:val="T68Bullet"/>
        <w:rPr>
          <w:sz w:val="22"/>
          <w:lang w:val="es-ES"/>
        </w:rPr>
      </w:pPr>
      <w:r w:rsidRPr="00EC0AFF">
        <w:rPr>
          <w:sz w:val="22"/>
          <w:lang w:val="es-ES"/>
        </w:rPr>
        <w:t xml:space="preserve">• </w:t>
      </w:r>
      <w:r w:rsidRPr="00EC0AFF">
        <w:rPr>
          <w:b/>
          <w:sz w:val="22"/>
          <w:lang w:val="es-ES"/>
        </w:rPr>
        <w:t>En el SAS:</w:t>
      </w:r>
      <w:r w:rsidRPr="00EC0AFF">
        <w:rPr>
          <w:sz w:val="22"/>
          <w:lang w:val="es-ES"/>
        </w:rPr>
        <w:t xml:space="preserve"> ORDERS D96A → DESADV D96A → RECADV D96A → INVOIC D93A; GENRAL D96A comunica incidencias.</w:t>
      </w:r>
    </w:p>
    <w:p w:rsidR="00161E0E" w:rsidRPr="00EC0AFF" w:rsidRDefault="00EC0AFF">
      <w:pPr>
        <w:pStyle w:val="T68Bullet"/>
        <w:rPr>
          <w:sz w:val="22"/>
          <w:lang w:val="es-ES"/>
        </w:rPr>
      </w:pPr>
      <w:r w:rsidRPr="00EC0AFF">
        <w:rPr>
          <w:sz w:val="22"/>
          <w:lang w:val="es-ES"/>
        </w:rPr>
        <w:t>• HCDSNS comparte información clínica entre CCAA; RESNS permite dispensación interoperable entre CCAA.</w:t>
      </w:r>
    </w:p>
    <w:p w:rsidR="00161E0E" w:rsidRPr="00EC0AFF" w:rsidRDefault="00EC0AFF">
      <w:pPr>
        <w:pStyle w:val="T68Bullet"/>
        <w:rPr>
          <w:sz w:val="22"/>
          <w:lang w:val="es-ES"/>
        </w:rPr>
      </w:pPr>
      <w:r w:rsidRPr="00EC0AFF">
        <w:rPr>
          <w:sz w:val="22"/>
          <w:lang w:val="es-ES"/>
        </w:rPr>
        <w:t xml:space="preserve">• </w:t>
      </w:r>
      <w:proofErr w:type="spellStart"/>
      <w:r w:rsidRPr="00EC0AFF">
        <w:rPr>
          <w:sz w:val="22"/>
          <w:lang w:val="es-ES"/>
        </w:rPr>
        <w:t>MyHealth@EU</w:t>
      </w:r>
      <w:proofErr w:type="spellEnd"/>
      <w:r w:rsidRPr="00EC0AFF">
        <w:rPr>
          <w:sz w:val="22"/>
          <w:lang w:val="es-ES"/>
        </w:rPr>
        <w:t xml:space="preserve"> proporciona servicios sanitarios transfronterizos; EHDS es el marco europeo más amplio regulado por el Reglamento (UE) 2025/327.</w:t>
      </w:r>
    </w:p>
    <w:p w:rsidR="00161E0E" w:rsidRDefault="00EC0AFF" w:rsidP="00EC0AFF">
      <w:pPr>
        <w:pStyle w:val="Ttulo1"/>
        <w:rPr>
          <w:lang w:val="es-ES"/>
        </w:rPr>
      </w:pPr>
      <w:bookmarkStart w:id="15" w:name="_Toc240909679"/>
      <w:r w:rsidRPr="00EC0AFF">
        <w:rPr>
          <w:lang w:val="es-ES"/>
        </w:rPr>
        <w:t>15. PREGUNTAS DE OTRAS OPE INCLUIDAS EN EL DOCUMENTO ORIGINAL</w:t>
      </w:r>
      <w:bookmarkEnd w:id="15"/>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 xml:space="preserve">Se conservan las 15 preguntas del documento de partida porque ya han demostrado ser contenido potencialmente </w:t>
      </w:r>
      <w:proofErr w:type="spellStart"/>
      <w:r w:rsidRPr="00EC0AFF">
        <w:rPr>
          <w:sz w:val="22"/>
          <w:lang w:val="es-ES"/>
        </w:rPr>
        <w:t>examinable</w:t>
      </w:r>
      <w:proofErr w:type="spellEnd"/>
      <w:r w:rsidRPr="00EC0AFF">
        <w:rPr>
          <w:sz w:val="22"/>
          <w:lang w:val="es-ES"/>
        </w:rPr>
        <w:t>. Las respuestas pueden obtenerse del desarrollo anterior.</w:t>
      </w:r>
    </w:p>
    <w:p w:rsidR="00161E0E" w:rsidRPr="00EC0AFF" w:rsidRDefault="00EC0AFF">
      <w:pPr>
        <w:pStyle w:val="T68Body"/>
        <w:rPr>
          <w:sz w:val="22"/>
          <w:lang w:val="es-ES"/>
        </w:rPr>
      </w:pPr>
      <w:r w:rsidRPr="00EC0AFF">
        <w:rPr>
          <w:b/>
          <w:sz w:val="22"/>
          <w:lang w:val="es-ES"/>
        </w:rPr>
        <w:t>1. ¿Cuál es la principal ventaja del EDI en comparación con el intercambio de datos en papel?</w:t>
      </w:r>
    </w:p>
    <w:p w:rsidR="00161E0E" w:rsidRPr="00EC0AFF" w:rsidRDefault="00EC0AFF">
      <w:pPr>
        <w:pStyle w:val="T68Subbullet"/>
        <w:rPr>
          <w:sz w:val="22"/>
          <w:lang w:val="es-ES"/>
        </w:rPr>
      </w:pPr>
      <w:r w:rsidRPr="00EC0AFF">
        <w:rPr>
          <w:sz w:val="22"/>
          <w:lang w:val="es-ES"/>
        </w:rPr>
        <w:t>a) Aumento del tiempo necesario para compartir datos</w:t>
      </w:r>
    </w:p>
    <w:p w:rsidR="00161E0E" w:rsidRPr="00EC0AFF" w:rsidRDefault="00EC0AFF">
      <w:pPr>
        <w:pStyle w:val="T68Subbullet"/>
        <w:rPr>
          <w:sz w:val="22"/>
          <w:lang w:val="es-ES"/>
        </w:rPr>
      </w:pPr>
      <w:r w:rsidRPr="00EC0AFF">
        <w:rPr>
          <w:sz w:val="22"/>
          <w:lang w:val="es-ES"/>
        </w:rPr>
        <w:t>b) Reducción de errores manuales y ahorro de tiempo</w:t>
      </w:r>
    </w:p>
    <w:p w:rsidR="00161E0E" w:rsidRPr="00EC0AFF" w:rsidRDefault="00EC0AFF">
      <w:pPr>
        <w:pStyle w:val="T68Subbullet"/>
        <w:rPr>
          <w:sz w:val="22"/>
          <w:lang w:val="es-ES"/>
        </w:rPr>
      </w:pPr>
      <w:r w:rsidRPr="00EC0AFF">
        <w:rPr>
          <w:sz w:val="22"/>
          <w:lang w:val="es-ES"/>
        </w:rPr>
        <w:t>c) Incremento en los costes operativos</w:t>
      </w:r>
    </w:p>
    <w:p w:rsidR="00161E0E" w:rsidRPr="00EC0AFF" w:rsidRDefault="00EC0AFF">
      <w:pPr>
        <w:pStyle w:val="T68Subbullet"/>
        <w:rPr>
          <w:sz w:val="22"/>
          <w:lang w:val="es-ES"/>
        </w:rPr>
      </w:pPr>
      <w:r w:rsidRPr="00EC0AFF">
        <w:rPr>
          <w:sz w:val="22"/>
          <w:lang w:val="es-ES"/>
        </w:rPr>
        <w:t>d) Mayor riesgo de errores en la transmisión de datos</w:t>
      </w:r>
    </w:p>
    <w:p w:rsidR="00161E0E" w:rsidRPr="00EC0AFF" w:rsidRDefault="00EC0AFF">
      <w:pPr>
        <w:pStyle w:val="T68Body"/>
        <w:rPr>
          <w:sz w:val="22"/>
          <w:lang w:val="es-ES"/>
        </w:rPr>
      </w:pPr>
      <w:r w:rsidRPr="00EC0AFF">
        <w:rPr>
          <w:b/>
          <w:sz w:val="22"/>
          <w:lang w:val="es-ES"/>
        </w:rPr>
        <w:t>2. ¿Qué protocolo es comúnmente utilizado en EDI para asegurar la transmisión de datos de manera segura?</w:t>
      </w:r>
    </w:p>
    <w:p w:rsidR="00161E0E" w:rsidRPr="00EC0AFF" w:rsidRDefault="00EC0AFF">
      <w:pPr>
        <w:pStyle w:val="T68Subbullet"/>
        <w:rPr>
          <w:sz w:val="22"/>
        </w:rPr>
      </w:pPr>
      <w:r w:rsidRPr="00EC0AFF">
        <w:rPr>
          <w:sz w:val="22"/>
        </w:rPr>
        <w:t>a) FTP</w:t>
      </w:r>
    </w:p>
    <w:p w:rsidR="00161E0E" w:rsidRPr="00EC0AFF" w:rsidRDefault="00EC0AFF">
      <w:pPr>
        <w:pStyle w:val="T68Subbullet"/>
        <w:rPr>
          <w:sz w:val="22"/>
        </w:rPr>
      </w:pPr>
      <w:r w:rsidRPr="00EC0AFF">
        <w:rPr>
          <w:sz w:val="22"/>
        </w:rPr>
        <w:t>b) HTTP</w:t>
      </w:r>
    </w:p>
    <w:p w:rsidR="00161E0E" w:rsidRPr="00EC0AFF" w:rsidRDefault="00EC0AFF">
      <w:pPr>
        <w:pStyle w:val="T68Subbullet"/>
        <w:rPr>
          <w:sz w:val="22"/>
        </w:rPr>
      </w:pPr>
      <w:r w:rsidRPr="00EC0AFF">
        <w:rPr>
          <w:sz w:val="22"/>
        </w:rPr>
        <w:t>c) SFTP</w:t>
      </w:r>
    </w:p>
    <w:p w:rsidR="00161E0E" w:rsidRPr="00EC0AFF" w:rsidRDefault="00EC0AFF">
      <w:pPr>
        <w:pStyle w:val="T68Subbullet"/>
        <w:rPr>
          <w:sz w:val="22"/>
          <w:lang w:val="es-ES"/>
        </w:rPr>
      </w:pPr>
      <w:r w:rsidRPr="00EC0AFF">
        <w:rPr>
          <w:sz w:val="22"/>
          <w:lang w:val="es-ES"/>
        </w:rPr>
        <w:t>d) SOAP</w:t>
      </w:r>
    </w:p>
    <w:p w:rsidR="00161E0E" w:rsidRPr="00EC0AFF" w:rsidRDefault="00EC0AFF">
      <w:pPr>
        <w:pStyle w:val="T68Body"/>
        <w:rPr>
          <w:sz w:val="22"/>
          <w:lang w:val="es-ES"/>
        </w:rPr>
      </w:pPr>
      <w:r w:rsidRPr="00EC0AFF">
        <w:rPr>
          <w:b/>
          <w:sz w:val="22"/>
          <w:lang w:val="es-ES"/>
        </w:rPr>
        <w:t>3. ¿Qué tipo de datos intercambia principalmente el estándar ISO 20022?</w:t>
      </w:r>
    </w:p>
    <w:p w:rsidR="00161E0E" w:rsidRPr="00EC0AFF" w:rsidRDefault="00EC0AFF">
      <w:pPr>
        <w:pStyle w:val="T68Subbullet"/>
        <w:rPr>
          <w:sz w:val="22"/>
          <w:lang w:val="es-ES"/>
        </w:rPr>
      </w:pPr>
      <w:r w:rsidRPr="00EC0AFF">
        <w:rPr>
          <w:sz w:val="22"/>
          <w:lang w:val="es-ES"/>
        </w:rPr>
        <w:t>a) Resultados médicos</w:t>
      </w:r>
    </w:p>
    <w:p w:rsidR="00161E0E" w:rsidRPr="00EC0AFF" w:rsidRDefault="00EC0AFF">
      <w:pPr>
        <w:pStyle w:val="T68Subbullet"/>
        <w:rPr>
          <w:sz w:val="22"/>
          <w:lang w:val="es-ES"/>
        </w:rPr>
      </w:pPr>
      <w:r w:rsidRPr="00EC0AFF">
        <w:rPr>
          <w:sz w:val="22"/>
          <w:lang w:val="es-ES"/>
        </w:rPr>
        <w:t>b) Mensajes de pagos y transacciones financieras</w:t>
      </w:r>
    </w:p>
    <w:p w:rsidR="00161E0E" w:rsidRPr="00EC0AFF" w:rsidRDefault="00EC0AFF">
      <w:pPr>
        <w:pStyle w:val="T68Subbullet"/>
        <w:rPr>
          <w:sz w:val="22"/>
          <w:lang w:val="es-ES"/>
        </w:rPr>
      </w:pPr>
      <w:r w:rsidRPr="00EC0AFF">
        <w:rPr>
          <w:sz w:val="22"/>
          <w:lang w:val="es-ES"/>
        </w:rPr>
        <w:t>c) Datos sobre seguros de salud</w:t>
      </w:r>
    </w:p>
    <w:p w:rsidR="00161E0E" w:rsidRPr="00EC0AFF" w:rsidRDefault="00EC0AFF">
      <w:pPr>
        <w:pStyle w:val="T68Subbullet"/>
        <w:rPr>
          <w:sz w:val="22"/>
          <w:lang w:val="es-ES"/>
        </w:rPr>
      </w:pPr>
      <w:r w:rsidRPr="00EC0AFF">
        <w:rPr>
          <w:sz w:val="22"/>
          <w:lang w:val="es-ES"/>
        </w:rPr>
        <w:t>d) Información sobre productos en inventarios</w:t>
      </w:r>
    </w:p>
    <w:p w:rsidR="00161E0E" w:rsidRPr="00EC0AFF" w:rsidRDefault="00EC0AFF">
      <w:pPr>
        <w:pStyle w:val="T68Body"/>
        <w:rPr>
          <w:sz w:val="22"/>
          <w:lang w:val="es-ES"/>
        </w:rPr>
      </w:pPr>
      <w:r w:rsidRPr="00EC0AFF">
        <w:rPr>
          <w:b/>
          <w:sz w:val="22"/>
          <w:lang w:val="es-ES"/>
        </w:rPr>
        <w:t>4. ¿En qué sector es utilizado principalmente el estándar HL7?</w:t>
      </w:r>
    </w:p>
    <w:p w:rsidR="00161E0E" w:rsidRPr="00EC0AFF" w:rsidRDefault="00EC0AFF">
      <w:pPr>
        <w:pStyle w:val="T68Subbullet"/>
        <w:rPr>
          <w:sz w:val="22"/>
          <w:lang w:val="es-ES"/>
        </w:rPr>
      </w:pPr>
      <w:r w:rsidRPr="00EC0AFF">
        <w:rPr>
          <w:sz w:val="22"/>
          <w:lang w:val="es-ES"/>
        </w:rPr>
        <w:t>a) Finanzas</w:t>
      </w:r>
    </w:p>
    <w:p w:rsidR="00161E0E" w:rsidRPr="00EC0AFF" w:rsidRDefault="00EC0AFF">
      <w:pPr>
        <w:pStyle w:val="T68Subbullet"/>
        <w:rPr>
          <w:sz w:val="22"/>
          <w:lang w:val="es-ES"/>
        </w:rPr>
      </w:pPr>
      <w:r w:rsidRPr="00EC0AFF">
        <w:rPr>
          <w:sz w:val="22"/>
          <w:lang w:val="es-ES"/>
        </w:rPr>
        <w:t>b) Salud</w:t>
      </w:r>
    </w:p>
    <w:p w:rsidR="00161E0E" w:rsidRPr="00EC0AFF" w:rsidRDefault="00EC0AFF">
      <w:pPr>
        <w:pStyle w:val="T68Subbullet"/>
        <w:rPr>
          <w:sz w:val="22"/>
          <w:lang w:val="es-ES"/>
        </w:rPr>
      </w:pPr>
      <w:r w:rsidRPr="00EC0AFF">
        <w:rPr>
          <w:sz w:val="22"/>
          <w:lang w:val="es-ES"/>
        </w:rPr>
        <w:t>c) Telecomunicaciones</w:t>
      </w:r>
    </w:p>
    <w:p w:rsidR="00161E0E" w:rsidRPr="00EC0AFF" w:rsidRDefault="00EC0AFF">
      <w:pPr>
        <w:pStyle w:val="T68Subbullet"/>
        <w:rPr>
          <w:sz w:val="22"/>
          <w:lang w:val="es-ES"/>
        </w:rPr>
      </w:pPr>
      <w:r w:rsidRPr="00EC0AFF">
        <w:rPr>
          <w:sz w:val="22"/>
          <w:lang w:val="es-ES"/>
        </w:rPr>
        <w:t>d) Logística</w:t>
      </w:r>
    </w:p>
    <w:p w:rsidR="00161E0E" w:rsidRPr="00EC0AFF" w:rsidRDefault="00EC0AFF">
      <w:pPr>
        <w:pStyle w:val="T68Body"/>
        <w:rPr>
          <w:sz w:val="22"/>
          <w:lang w:val="es-ES"/>
        </w:rPr>
      </w:pPr>
      <w:r w:rsidRPr="00EC0AFF">
        <w:rPr>
          <w:b/>
          <w:sz w:val="22"/>
          <w:lang w:val="es-ES"/>
        </w:rPr>
        <w:t xml:space="preserve">5. ¿Qué es </w:t>
      </w:r>
      <w:proofErr w:type="spellStart"/>
      <w:r w:rsidRPr="00EC0AFF">
        <w:rPr>
          <w:b/>
          <w:sz w:val="22"/>
          <w:lang w:val="es-ES"/>
        </w:rPr>
        <w:t>Peppol</w:t>
      </w:r>
      <w:proofErr w:type="spellEnd"/>
      <w:r w:rsidRPr="00EC0AFF">
        <w:rPr>
          <w:b/>
          <w:sz w:val="22"/>
          <w:lang w:val="es-ES"/>
        </w:rPr>
        <w:t xml:space="preserve"> en el contexto de EDI?</w:t>
      </w:r>
    </w:p>
    <w:p w:rsidR="00161E0E" w:rsidRPr="00EC0AFF" w:rsidRDefault="00EC0AFF">
      <w:pPr>
        <w:pStyle w:val="T68Subbullet"/>
        <w:rPr>
          <w:sz w:val="22"/>
          <w:lang w:val="es-ES"/>
        </w:rPr>
      </w:pPr>
      <w:r w:rsidRPr="00EC0AFF">
        <w:rPr>
          <w:sz w:val="22"/>
          <w:lang w:val="es-ES"/>
        </w:rPr>
        <w:t>a) Un tipo de protocolo de seguridad</w:t>
      </w:r>
    </w:p>
    <w:p w:rsidR="00161E0E" w:rsidRPr="00EC0AFF" w:rsidRDefault="00EC0AFF">
      <w:pPr>
        <w:pStyle w:val="T68Subbullet"/>
        <w:rPr>
          <w:sz w:val="22"/>
          <w:lang w:val="es-ES"/>
        </w:rPr>
      </w:pPr>
      <w:r w:rsidRPr="00EC0AFF">
        <w:rPr>
          <w:sz w:val="22"/>
          <w:lang w:val="es-ES"/>
        </w:rPr>
        <w:t>b) Un sistema/marco de mensajería e intercambio de documentos para empresas y Administraciones Públicas</w:t>
      </w:r>
    </w:p>
    <w:p w:rsidR="00161E0E" w:rsidRPr="00EC0AFF" w:rsidRDefault="00EC0AFF">
      <w:pPr>
        <w:pStyle w:val="T68Subbullet"/>
        <w:rPr>
          <w:sz w:val="22"/>
          <w:lang w:val="es-ES"/>
        </w:rPr>
      </w:pPr>
      <w:r w:rsidRPr="00EC0AFF">
        <w:rPr>
          <w:sz w:val="22"/>
          <w:lang w:val="es-ES"/>
        </w:rPr>
        <w:t>c) Un lenguaje de programación</w:t>
      </w:r>
    </w:p>
    <w:p w:rsidR="00161E0E" w:rsidRPr="00EC0AFF" w:rsidRDefault="00EC0AFF">
      <w:pPr>
        <w:pStyle w:val="T68Subbullet"/>
        <w:rPr>
          <w:sz w:val="22"/>
          <w:lang w:val="es-ES"/>
        </w:rPr>
      </w:pPr>
      <w:r w:rsidRPr="00EC0AFF">
        <w:rPr>
          <w:sz w:val="22"/>
          <w:lang w:val="es-ES"/>
        </w:rPr>
        <w:t>d) Un sistema gestor de bases de datos</w:t>
      </w:r>
    </w:p>
    <w:p w:rsidR="00161E0E" w:rsidRPr="00EC0AFF" w:rsidRDefault="00EC0AFF">
      <w:pPr>
        <w:pStyle w:val="T68Body"/>
        <w:rPr>
          <w:sz w:val="22"/>
          <w:lang w:val="es-ES"/>
        </w:rPr>
      </w:pPr>
      <w:r w:rsidRPr="00EC0AFF">
        <w:rPr>
          <w:b/>
          <w:sz w:val="22"/>
          <w:lang w:val="es-ES"/>
        </w:rPr>
        <w:t>6. ¿Cuál de los siguientes estándares es utilizado principalmente en la industria automotriz?</w:t>
      </w:r>
    </w:p>
    <w:p w:rsidR="00161E0E" w:rsidRPr="00EC0AFF" w:rsidRDefault="00EC0AFF">
      <w:pPr>
        <w:pStyle w:val="T68Subbullet"/>
        <w:rPr>
          <w:sz w:val="22"/>
        </w:rPr>
      </w:pPr>
      <w:r w:rsidRPr="00EC0AFF">
        <w:rPr>
          <w:sz w:val="22"/>
        </w:rPr>
        <w:t>a) TRADACOMS</w:t>
      </w:r>
    </w:p>
    <w:p w:rsidR="00161E0E" w:rsidRPr="00EC0AFF" w:rsidRDefault="00EC0AFF">
      <w:pPr>
        <w:pStyle w:val="T68Subbullet"/>
        <w:rPr>
          <w:sz w:val="22"/>
        </w:rPr>
      </w:pPr>
      <w:r w:rsidRPr="00EC0AFF">
        <w:rPr>
          <w:sz w:val="22"/>
        </w:rPr>
        <w:lastRenderedPageBreak/>
        <w:t>b) ODETTE</w:t>
      </w:r>
    </w:p>
    <w:p w:rsidR="00161E0E" w:rsidRPr="00EC0AFF" w:rsidRDefault="00EC0AFF">
      <w:pPr>
        <w:pStyle w:val="T68Subbullet"/>
        <w:rPr>
          <w:sz w:val="22"/>
        </w:rPr>
      </w:pPr>
      <w:r w:rsidRPr="00EC0AFF">
        <w:rPr>
          <w:sz w:val="22"/>
        </w:rPr>
        <w:t>c) GS1</w:t>
      </w:r>
    </w:p>
    <w:p w:rsidR="00161E0E" w:rsidRPr="00EC0AFF" w:rsidRDefault="00EC0AFF">
      <w:pPr>
        <w:pStyle w:val="T68Subbullet"/>
        <w:rPr>
          <w:sz w:val="22"/>
          <w:lang w:val="es-ES"/>
        </w:rPr>
      </w:pPr>
      <w:r w:rsidRPr="00EC0AFF">
        <w:rPr>
          <w:sz w:val="22"/>
          <w:lang w:val="es-ES"/>
        </w:rPr>
        <w:t>d) HL7</w:t>
      </w:r>
    </w:p>
    <w:p w:rsidR="00161E0E" w:rsidRPr="00EC0AFF" w:rsidRDefault="00EC0AFF">
      <w:pPr>
        <w:pStyle w:val="T68Body"/>
        <w:rPr>
          <w:sz w:val="22"/>
          <w:lang w:val="es-ES"/>
        </w:rPr>
      </w:pPr>
      <w:r w:rsidRPr="00EC0AFF">
        <w:rPr>
          <w:b/>
          <w:sz w:val="22"/>
          <w:lang w:val="es-ES"/>
        </w:rPr>
        <w:t>7. ¿Cuál es la función principal del protocolo AS2 en EDI?</w:t>
      </w:r>
    </w:p>
    <w:p w:rsidR="00161E0E" w:rsidRPr="00EC0AFF" w:rsidRDefault="00EC0AFF">
      <w:pPr>
        <w:pStyle w:val="T68Subbullet"/>
        <w:rPr>
          <w:sz w:val="22"/>
          <w:lang w:val="es-ES"/>
        </w:rPr>
      </w:pPr>
      <w:r w:rsidRPr="00EC0AFF">
        <w:rPr>
          <w:sz w:val="22"/>
          <w:lang w:val="es-ES"/>
        </w:rPr>
        <w:t>a) Realizar consultas en bases de datos</w:t>
      </w:r>
    </w:p>
    <w:p w:rsidR="00161E0E" w:rsidRPr="00EC0AFF" w:rsidRDefault="00EC0AFF">
      <w:pPr>
        <w:pStyle w:val="T68Subbullet"/>
        <w:rPr>
          <w:sz w:val="22"/>
          <w:lang w:val="es-ES"/>
        </w:rPr>
      </w:pPr>
      <w:r w:rsidRPr="00EC0AFF">
        <w:rPr>
          <w:sz w:val="22"/>
          <w:lang w:val="es-ES"/>
        </w:rPr>
        <w:t>b) Garantizar la transmisión de datos de manera segura y fiable</w:t>
      </w:r>
    </w:p>
    <w:p w:rsidR="00161E0E" w:rsidRPr="00EC0AFF" w:rsidRDefault="00EC0AFF">
      <w:pPr>
        <w:pStyle w:val="T68Subbullet"/>
        <w:rPr>
          <w:sz w:val="22"/>
          <w:lang w:val="es-ES"/>
        </w:rPr>
      </w:pPr>
      <w:r w:rsidRPr="00EC0AFF">
        <w:rPr>
          <w:sz w:val="22"/>
          <w:lang w:val="es-ES"/>
        </w:rPr>
        <w:t>c) Mejorar la presentación visual de los documentos</w:t>
      </w:r>
    </w:p>
    <w:p w:rsidR="00161E0E" w:rsidRPr="00EC0AFF" w:rsidRDefault="00EC0AFF">
      <w:pPr>
        <w:pStyle w:val="T68Subbullet"/>
        <w:rPr>
          <w:sz w:val="22"/>
          <w:lang w:val="es-ES"/>
        </w:rPr>
      </w:pPr>
      <w:r w:rsidRPr="00EC0AFF">
        <w:rPr>
          <w:sz w:val="22"/>
          <w:lang w:val="es-ES"/>
        </w:rPr>
        <w:t>d) Facilitar únicamente la compatibilidad de interfaces gráficas</w:t>
      </w:r>
    </w:p>
    <w:p w:rsidR="00161E0E" w:rsidRPr="00EC0AFF" w:rsidRDefault="00EC0AFF">
      <w:pPr>
        <w:pStyle w:val="T68Body"/>
        <w:rPr>
          <w:sz w:val="22"/>
          <w:lang w:val="es-ES"/>
        </w:rPr>
      </w:pPr>
      <w:r w:rsidRPr="00EC0AFF">
        <w:rPr>
          <w:b/>
          <w:sz w:val="22"/>
          <w:lang w:val="es-ES"/>
        </w:rPr>
        <w:t>8. ¿Qué caracteriza a formatos de intercambio de datos como CSV y XML?</w:t>
      </w:r>
    </w:p>
    <w:p w:rsidR="00161E0E" w:rsidRPr="00EC0AFF" w:rsidRDefault="00EC0AFF">
      <w:pPr>
        <w:pStyle w:val="T68Subbullet"/>
        <w:rPr>
          <w:sz w:val="22"/>
          <w:lang w:val="es-ES"/>
        </w:rPr>
      </w:pPr>
      <w:r w:rsidRPr="00EC0AFF">
        <w:rPr>
          <w:sz w:val="22"/>
          <w:lang w:val="es-ES"/>
        </w:rPr>
        <w:t>a) Son formatos cerrados y específicos para un único uso</w:t>
      </w:r>
    </w:p>
    <w:p w:rsidR="00161E0E" w:rsidRPr="00EC0AFF" w:rsidRDefault="00EC0AFF">
      <w:pPr>
        <w:pStyle w:val="T68Subbullet"/>
        <w:rPr>
          <w:sz w:val="22"/>
          <w:lang w:val="es-ES"/>
        </w:rPr>
      </w:pPr>
      <w:r w:rsidRPr="00EC0AFF">
        <w:rPr>
          <w:sz w:val="22"/>
          <w:lang w:val="es-ES"/>
        </w:rPr>
        <w:t>b) Son lenguajes de programación</w:t>
      </w:r>
    </w:p>
    <w:p w:rsidR="00161E0E" w:rsidRPr="00EC0AFF" w:rsidRDefault="00EC0AFF">
      <w:pPr>
        <w:pStyle w:val="T68Subbullet"/>
        <w:rPr>
          <w:sz w:val="22"/>
          <w:lang w:val="es-ES"/>
        </w:rPr>
      </w:pPr>
      <w:r w:rsidRPr="00EC0AFF">
        <w:rPr>
          <w:sz w:val="22"/>
          <w:lang w:val="es-ES"/>
        </w:rPr>
        <w:t>c) Permiten representar e intercambiar datos entre sistemas de forma estructurada o tabular</w:t>
      </w:r>
    </w:p>
    <w:p w:rsidR="00161E0E" w:rsidRPr="00EC0AFF" w:rsidRDefault="00EC0AFF">
      <w:pPr>
        <w:pStyle w:val="T68Subbullet"/>
        <w:rPr>
          <w:sz w:val="22"/>
          <w:lang w:val="es-ES"/>
        </w:rPr>
      </w:pPr>
      <w:r w:rsidRPr="00EC0AFF">
        <w:rPr>
          <w:sz w:val="22"/>
          <w:lang w:val="es-ES"/>
        </w:rPr>
        <w:t>d) Se utilizan únicamente en comercio electrónico</w:t>
      </w:r>
    </w:p>
    <w:p w:rsidR="00161E0E" w:rsidRPr="00EC0AFF" w:rsidRDefault="00EC0AFF">
      <w:pPr>
        <w:pStyle w:val="T68Body"/>
        <w:rPr>
          <w:sz w:val="22"/>
          <w:lang w:val="es-ES"/>
        </w:rPr>
      </w:pPr>
      <w:r w:rsidRPr="00EC0AFF">
        <w:rPr>
          <w:b/>
          <w:sz w:val="22"/>
          <w:lang w:val="es-ES"/>
        </w:rPr>
        <w:t>9. ¿Qué tipo de documento es comúnmente representado en formato PDF?</w:t>
      </w:r>
    </w:p>
    <w:p w:rsidR="00161E0E" w:rsidRPr="00EC0AFF" w:rsidRDefault="00EC0AFF">
      <w:pPr>
        <w:pStyle w:val="T68Subbullet"/>
        <w:rPr>
          <w:sz w:val="22"/>
          <w:lang w:val="es-ES"/>
        </w:rPr>
      </w:pPr>
      <w:r w:rsidRPr="00EC0AFF">
        <w:rPr>
          <w:sz w:val="22"/>
          <w:lang w:val="es-ES"/>
        </w:rPr>
        <w:t>a) Datos financieros exclusivamente</w:t>
      </w:r>
    </w:p>
    <w:p w:rsidR="00161E0E" w:rsidRPr="00EC0AFF" w:rsidRDefault="00EC0AFF">
      <w:pPr>
        <w:pStyle w:val="T68Subbullet"/>
        <w:rPr>
          <w:sz w:val="22"/>
          <w:lang w:val="es-ES"/>
        </w:rPr>
      </w:pPr>
      <w:r w:rsidRPr="00EC0AFF">
        <w:rPr>
          <w:sz w:val="22"/>
          <w:lang w:val="es-ES"/>
        </w:rPr>
        <w:t>b) Documentos que mantienen su apariencia con independencia del sistema o dispositivo</w:t>
      </w:r>
    </w:p>
    <w:p w:rsidR="00161E0E" w:rsidRPr="00EC0AFF" w:rsidRDefault="00EC0AFF">
      <w:pPr>
        <w:pStyle w:val="T68Subbullet"/>
        <w:rPr>
          <w:sz w:val="22"/>
          <w:lang w:val="es-ES"/>
        </w:rPr>
      </w:pPr>
      <w:r w:rsidRPr="00EC0AFF">
        <w:rPr>
          <w:sz w:val="22"/>
          <w:lang w:val="es-ES"/>
        </w:rPr>
        <w:t>c) Resultados clínicos exclusivamente</w:t>
      </w:r>
    </w:p>
    <w:p w:rsidR="00161E0E" w:rsidRPr="00EC0AFF" w:rsidRDefault="00EC0AFF">
      <w:pPr>
        <w:pStyle w:val="T68Subbullet"/>
        <w:rPr>
          <w:sz w:val="22"/>
          <w:lang w:val="es-ES"/>
        </w:rPr>
      </w:pPr>
      <w:r w:rsidRPr="00EC0AFF">
        <w:rPr>
          <w:sz w:val="22"/>
          <w:lang w:val="es-ES"/>
        </w:rPr>
        <w:t>d) Mensajes de texto sin formato</w:t>
      </w:r>
    </w:p>
    <w:p w:rsidR="00161E0E" w:rsidRPr="00EC0AFF" w:rsidRDefault="00EC0AFF">
      <w:pPr>
        <w:pStyle w:val="T68Body"/>
        <w:rPr>
          <w:sz w:val="22"/>
          <w:lang w:val="es-ES"/>
        </w:rPr>
      </w:pPr>
      <w:r w:rsidRPr="00EC0AFF">
        <w:rPr>
          <w:b/>
          <w:sz w:val="22"/>
          <w:lang w:val="es-ES"/>
        </w:rPr>
        <w:t>10. ¿Qué herramienta se asocia habitualmente con la visualización de información geográfica en formato KML?</w:t>
      </w:r>
    </w:p>
    <w:p w:rsidR="00161E0E" w:rsidRPr="00EC0AFF" w:rsidRDefault="00EC0AFF">
      <w:pPr>
        <w:pStyle w:val="T68Subbullet"/>
        <w:rPr>
          <w:sz w:val="22"/>
        </w:rPr>
      </w:pPr>
      <w:r w:rsidRPr="00EC0AFF">
        <w:rPr>
          <w:sz w:val="22"/>
        </w:rPr>
        <w:t>a) Google Maps API</w:t>
      </w:r>
    </w:p>
    <w:p w:rsidR="00161E0E" w:rsidRPr="00EC0AFF" w:rsidRDefault="00EC0AFF">
      <w:pPr>
        <w:pStyle w:val="T68Subbullet"/>
        <w:rPr>
          <w:sz w:val="22"/>
        </w:rPr>
      </w:pPr>
      <w:r w:rsidRPr="00EC0AFF">
        <w:rPr>
          <w:sz w:val="22"/>
        </w:rPr>
        <w:t>b) Google Earth</w:t>
      </w:r>
    </w:p>
    <w:p w:rsidR="00161E0E" w:rsidRPr="00EC0AFF" w:rsidRDefault="00EC0AFF">
      <w:pPr>
        <w:pStyle w:val="T68Subbullet"/>
        <w:rPr>
          <w:sz w:val="22"/>
          <w:lang w:val="es-ES"/>
        </w:rPr>
      </w:pPr>
      <w:r w:rsidRPr="00EC0AFF">
        <w:rPr>
          <w:sz w:val="22"/>
          <w:lang w:val="es-ES"/>
        </w:rPr>
        <w:t>c) HTML5</w:t>
      </w:r>
    </w:p>
    <w:p w:rsidR="00161E0E" w:rsidRPr="00EC0AFF" w:rsidRDefault="00EC0AFF">
      <w:pPr>
        <w:pStyle w:val="T68Subbullet"/>
        <w:rPr>
          <w:sz w:val="22"/>
          <w:lang w:val="es-ES"/>
        </w:rPr>
      </w:pPr>
      <w:r w:rsidRPr="00EC0AFF">
        <w:rPr>
          <w:sz w:val="22"/>
          <w:lang w:val="es-ES"/>
        </w:rPr>
        <w:t>d) SQL</w:t>
      </w:r>
    </w:p>
    <w:p w:rsidR="00161E0E" w:rsidRPr="00EC0AFF" w:rsidRDefault="00EC0AFF">
      <w:pPr>
        <w:pStyle w:val="T68Body"/>
        <w:rPr>
          <w:sz w:val="22"/>
          <w:lang w:val="es-ES"/>
        </w:rPr>
      </w:pPr>
      <w:r w:rsidRPr="00EC0AFF">
        <w:rPr>
          <w:b/>
          <w:sz w:val="22"/>
          <w:lang w:val="es-ES"/>
        </w:rPr>
        <w:t>11. ¿Qué tipo de consultas realiza SPARQL?</w:t>
      </w:r>
    </w:p>
    <w:p w:rsidR="00161E0E" w:rsidRPr="00EC0AFF" w:rsidRDefault="00EC0AFF">
      <w:pPr>
        <w:pStyle w:val="T68Subbullet"/>
        <w:rPr>
          <w:sz w:val="22"/>
          <w:lang w:val="es-ES"/>
        </w:rPr>
      </w:pPr>
      <w:r w:rsidRPr="00EC0AFF">
        <w:rPr>
          <w:sz w:val="22"/>
          <w:lang w:val="es-ES"/>
        </w:rPr>
        <w:t>a) Consultas sobre datos RDF</w:t>
      </w:r>
    </w:p>
    <w:p w:rsidR="00161E0E" w:rsidRPr="00EC0AFF" w:rsidRDefault="00EC0AFF">
      <w:pPr>
        <w:pStyle w:val="T68Subbullet"/>
        <w:rPr>
          <w:sz w:val="22"/>
          <w:lang w:val="es-ES"/>
        </w:rPr>
      </w:pPr>
      <w:r w:rsidRPr="00EC0AFF">
        <w:rPr>
          <w:sz w:val="22"/>
          <w:lang w:val="es-ES"/>
        </w:rPr>
        <w:t>b) Consultas sobre sistemas de pago</w:t>
      </w:r>
    </w:p>
    <w:p w:rsidR="00161E0E" w:rsidRPr="00EC0AFF" w:rsidRDefault="00EC0AFF">
      <w:pPr>
        <w:pStyle w:val="T68Subbullet"/>
        <w:rPr>
          <w:sz w:val="22"/>
          <w:lang w:val="es-ES"/>
        </w:rPr>
      </w:pPr>
      <w:r w:rsidRPr="00EC0AFF">
        <w:rPr>
          <w:sz w:val="22"/>
          <w:lang w:val="es-ES"/>
        </w:rPr>
        <w:t>c) Consultas sobre bases de datos SQL exclusivamente</w:t>
      </w:r>
    </w:p>
    <w:p w:rsidR="00161E0E" w:rsidRPr="00EC0AFF" w:rsidRDefault="00EC0AFF">
      <w:pPr>
        <w:pStyle w:val="T68Subbullet"/>
        <w:rPr>
          <w:sz w:val="22"/>
          <w:lang w:val="es-ES"/>
        </w:rPr>
      </w:pPr>
      <w:r w:rsidRPr="00EC0AFF">
        <w:rPr>
          <w:sz w:val="22"/>
          <w:lang w:val="es-ES"/>
        </w:rPr>
        <w:t>d) Consultas sobre resultados médicos exclusivamente</w:t>
      </w:r>
    </w:p>
    <w:p w:rsidR="00161E0E" w:rsidRPr="00EC0AFF" w:rsidRDefault="00EC0AFF">
      <w:pPr>
        <w:pStyle w:val="T68Body"/>
        <w:rPr>
          <w:sz w:val="22"/>
          <w:lang w:val="es-ES"/>
        </w:rPr>
      </w:pPr>
      <w:r w:rsidRPr="00EC0AFF">
        <w:rPr>
          <w:b/>
          <w:sz w:val="22"/>
          <w:lang w:val="es-ES"/>
        </w:rPr>
        <w:t xml:space="preserve">12. ¿Cuál es el objetivo del </w:t>
      </w:r>
      <w:proofErr w:type="spellStart"/>
      <w:r w:rsidRPr="00EC0AFF">
        <w:rPr>
          <w:b/>
          <w:sz w:val="22"/>
          <w:lang w:val="es-ES"/>
        </w:rPr>
        <w:t>European</w:t>
      </w:r>
      <w:proofErr w:type="spellEnd"/>
      <w:r w:rsidRPr="00EC0AFF">
        <w:rPr>
          <w:b/>
          <w:sz w:val="22"/>
          <w:lang w:val="es-ES"/>
        </w:rPr>
        <w:t xml:space="preserve"> </w:t>
      </w:r>
      <w:proofErr w:type="spellStart"/>
      <w:r w:rsidRPr="00EC0AFF">
        <w:rPr>
          <w:b/>
          <w:sz w:val="22"/>
          <w:lang w:val="es-ES"/>
        </w:rPr>
        <w:t>Health</w:t>
      </w:r>
      <w:proofErr w:type="spellEnd"/>
      <w:r w:rsidRPr="00EC0AFF">
        <w:rPr>
          <w:b/>
          <w:sz w:val="22"/>
          <w:lang w:val="es-ES"/>
        </w:rPr>
        <w:t xml:space="preserve"> Data </w:t>
      </w:r>
      <w:proofErr w:type="spellStart"/>
      <w:r w:rsidRPr="00EC0AFF">
        <w:rPr>
          <w:b/>
          <w:sz w:val="22"/>
          <w:lang w:val="es-ES"/>
        </w:rPr>
        <w:t>Space</w:t>
      </w:r>
      <w:proofErr w:type="spellEnd"/>
      <w:r w:rsidRPr="00EC0AFF">
        <w:rPr>
          <w:b/>
          <w:sz w:val="22"/>
          <w:lang w:val="es-ES"/>
        </w:rPr>
        <w:t xml:space="preserve"> (EHDS)?</w:t>
      </w:r>
    </w:p>
    <w:p w:rsidR="00161E0E" w:rsidRPr="00EC0AFF" w:rsidRDefault="00EC0AFF">
      <w:pPr>
        <w:pStyle w:val="T68Subbullet"/>
        <w:rPr>
          <w:sz w:val="22"/>
          <w:lang w:val="es-ES"/>
        </w:rPr>
      </w:pPr>
      <w:r w:rsidRPr="00EC0AFF">
        <w:rPr>
          <w:sz w:val="22"/>
          <w:lang w:val="es-ES"/>
        </w:rPr>
        <w:t>a) Gestionar únicamente la administración interna de hospitales</w:t>
      </w:r>
    </w:p>
    <w:p w:rsidR="00161E0E" w:rsidRPr="00EC0AFF" w:rsidRDefault="00EC0AFF">
      <w:pPr>
        <w:pStyle w:val="T68Subbullet"/>
        <w:rPr>
          <w:sz w:val="22"/>
          <w:lang w:val="es-ES"/>
        </w:rPr>
      </w:pPr>
      <w:r w:rsidRPr="00EC0AFF">
        <w:rPr>
          <w:sz w:val="22"/>
          <w:lang w:val="es-ES"/>
        </w:rPr>
        <w:t>b) Favorecer el acceso, intercambio e interoperabilidad de datos de salud en la UE y regular determinados usos secundarios</w:t>
      </w:r>
    </w:p>
    <w:p w:rsidR="00161E0E" w:rsidRPr="00EC0AFF" w:rsidRDefault="00EC0AFF">
      <w:pPr>
        <w:pStyle w:val="T68Subbullet"/>
        <w:rPr>
          <w:sz w:val="22"/>
          <w:lang w:val="es-ES"/>
        </w:rPr>
      </w:pPr>
      <w:r w:rsidRPr="00EC0AFF">
        <w:rPr>
          <w:sz w:val="22"/>
          <w:lang w:val="es-ES"/>
        </w:rPr>
        <w:t>c) Aumentar sin restricciones la cantidad de datos personales almacenados</w:t>
      </w:r>
    </w:p>
    <w:p w:rsidR="00161E0E" w:rsidRPr="00EC0AFF" w:rsidRDefault="00EC0AFF">
      <w:pPr>
        <w:pStyle w:val="T68Subbullet"/>
        <w:rPr>
          <w:sz w:val="22"/>
          <w:lang w:val="es-ES"/>
        </w:rPr>
      </w:pPr>
      <w:r w:rsidRPr="00EC0AFF">
        <w:rPr>
          <w:sz w:val="22"/>
          <w:lang w:val="es-ES"/>
        </w:rPr>
        <w:t>d) Sustituir las redes de telecomunicaciones nacionales</w:t>
      </w:r>
    </w:p>
    <w:p w:rsidR="00161E0E" w:rsidRPr="00EC0AFF" w:rsidRDefault="00EC0AFF">
      <w:pPr>
        <w:pStyle w:val="T68Body"/>
        <w:rPr>
          <w:sz w:val="22"/>
          <w:lang w:val="es-ES"/>
        </w:rPr>
      </w:pPr>
      <w:r w:rsidRPr="00EC0AFF">
        <w:rPr>
          <w:b/>
          <w:sz w:val="22"/>
          <w:lang w:val="es-ES"/>
        </w:rPr>
        <w:t>13. ¿Qué es la Red SARA en el contexto de la Administración Pública española?</w:t>
      </w:r>
    </w:p>
    <w:p w:rsidR="00161E0E" w:rsidRPr="00EC0AFF" w:rsidRDefault="00EC0AFF">
      <w:pPr>
        <w:pStyle w:val="T68Subbullet"/>
        <w:rPr>
          <w:sz w:val="22"/>
          <w:lang w:val="es-ES"/>
        </w:rPr>
      </w:pPr>
      <w:r w:rsidRPr="00EC0AFF">
        <w:rPr>
          <w:sz w:val="22"/>
          <w:lang w:val="es-ES"/>
        </w:rPr>
        <w:t>a) Una red privada para empresas comerciales</w:t>
      </w:r>
    </w:p>
    <w:p w:rsidR="00161E0E" w:rsidRPr="00EC0AFF" w:rsidRDefault="00EC0AFF">
      <w:pPr>
        <w:pStyle w:val="T68Subbullet"/>
        <w:rPr>
          <w:sz w:val="22"/>
          <w:lang w:val="es-ES"/>
        </w:rPr>
      </w:pPr>
      <w:r w:rsidRPr="00EC0AFF">
        <w:rPr>
          <w:sz w:val="22"/>
          <w:lang w:val="es-ES"/>
        </w:rPr>
        <w:t>b) Una infraestructura de comunicaciones y servicios básicos que interconecta Administraciones Públicas españolas y facilita la conexión con instituciones europeas</w:t>
      </w:r>
    </w:p>
    <w:p w:rsidR="00161E0E" w:rsidRPr="00EC0AFF" w:rsidRDefault="00EC0AFF">
      <w:pPr>
        <w:pStyle w:val="T68Subbullet"/>
        <w:rPr>
          <w:sz w:val="22"/>
          <w:lang w:val="es-ES"/>
        </w:rPr>
      </w:pPr>
      <w:r w:rsidRPr="00EC0AFF">
        <w:rPr>
          <w:sz w:val="22"/>
          <w:lang w:val="es-ES"/>
        </w:rPr>
        <w:t>c) Un sistema de almacenamiento privado de historias clínicas</w:t>
      </w:r>
    </w:p>
    <w:p w:rsidR="00161E0E" w:rsidRPr="00EC0AFF" w:rsidRDefault="00EC0AFF">
      <w:pPr>
        <w:pStyle w:val="T68Subbullet"/>
        <w:rPr>
          <w:sz w:val="22"/>
          <w:lang w:val="es-ES"/>
        </w:rPr>
      </w:pPr>
      <w:r w:rsidRPr="00EC0AFF">
        <w:rPr>
          <w:sz w:val="22"/>
          <w:lang w:val="es-ES"/>
        </w:rPr>
        <w:t>d) Una plataforma de comercio electrónico</w:t>
      </w:r>
    </w:p>
    <w:p w:rsidR="00161E0E" w:rsidRPr="00EC0AFF" w:rsidRDefault="00EC0AFF">
      <w:pPr>
        <w:pStyle w:val="T68Body"/>
        <w:rPr>
          <w:sz w:val="22"/>
          <w:lang w:val="es-ES"/>
        </w:rPr>
      </w:pPr>
      <w:r w:rsidRPr="00EC0AFF">
        <w:rPr>
          <w:b/>
          <w:sz w:val="22"/>
          <w:lang w:val="es-ES"/>
        </w:rPr>
        <w:t>14. ¿Qué mensaje está asociado al pedido en el intercambio EDI del SAS con sus proveedores?</w:t>
      </w:r>
    </w:p>
    <w:p w:rsidR="00161E0E" w:rsidRPr="00EC0AFF" w:rsidRDefault="00EC0AFF">
      <w:pPr>
        <w:pStyle w:val="T68Subbullet"/>
        <w:rPr>
          <w:sz w:val="22"/>
          <w:lang w:val="es-ES"/>
        </w:rPr>
      </w:pPr>
      <w:r w:rsidRPr="00EC0AFF">
        <w:rPr>
          <w:sz w:val="22"/>
          <w:lang w:val="es-ES"/>
        </w:rPr>
        <w:t>a) Solicitud de respuesta</w:t>
      </w:r>
    </w:p>
    <w:p w:rsidR="00161E0E" w:rsidRPr="00EC0AFF" w:rsidRDefault="00EC0AFF">
      <w:pPr>
        <w:pStyle w:val="T68Subbullet"/>
        <w:rPr>
          <w:sz w:val="22"/>
          <w:lang w:val="es-ES"/>
        </w:rPr>
      </w:pPr>
      <w:r w:rsidRPr="00EC0AFF">
        <w:rPr>
          <w:sz w:val="22"/>
          <w:lang w:val="es-ES"/>
        </w:rPr>
        <w:t>b) ORDERS D96A</w:t>
      </w:r>
    </w:p>
    <w:p w:rsidR="00161E0E" w:rsidRPr="00EC0AFF" w:rsidRDefault="00EC0AFF">
      <w:pPr>
        <w:pStyle w:val="T68Subbullet"/>
        <w:rPr>
          <w:sz w:val="22"/>
          <w:lang w:val="es-ES"/>
        </w:rPr>
      </w:pPr>
      <w:r w:rsidRPr="00EC0AFF">
        <w:rPr>
          <w:sz w:val="22"/>
          <w:lang w:val="es-ES"/>
        </w:rPr>
        <w:t>c) Confirmación de identidad</w:t>
      </w:r>
    </w:p>
    <w:p w:rsidR="00161E0E" w:rsidRPr="00EC0AFF" w:rsidRDefault="00EC0AFF">
      <w:pPr>
        <w:pStyle w:val="T68Subbullet"/>
        <w:rPr>
          <w:sz w:val="22"/>
          <w:lang w:val="es-ES"/>
        </w:rPr>
      </w:pPr>
      <w:r w:rsidRPr="00EC0AFF">
        <w:rPr>
          <w:sz w:val="22"/>
          <w:lang w:val="es-ES"/>
        </w:rPr>
        <w:t>d) Certificado de pago</w:t>
      </w:r>
    </w:p>
    <w:p w:rsidR="00161E0E" w:rsidRPr="00EC0AFF" w:rsidRDefault="00EC0AFF">
      <w:pPr>
        <w:pStyle w:val="T68Body"/>
        <w:rPr>
          <w:sz w:val="22"/>
          <w:lang w:val="es-ES"/>
        </w:rPr>
      </w:pPr>
      <w:r w:rsidRPr="00EC0AFF">
        <w:rPr>
          <w:b/>
          <w:sz w:val="22"/>
          <w:lang w:val="es-ES"/>
        </w:rPr>
        <w:t>15. ¿Qué beneficio tiene la supresión de certificados en soporte papel (SCSP)?</w:t>
      </w:r>
    </w:p>
    <w:p w:rsidR="00161E0E" w:rsidRPr="00EC0AFF" w:rsidRDefault="00EC0AFF">
      <w:pPr>
        <w:pStyle w:val="T68Subbullet"/>
        <w:rPr>
          <w:sz w:val="22"/>
          <w:lang w:val="es-ES"/>
        </w:rPr>
      </w:pPr>
      <w:r w:rsidRPr="00EC0AFF">
        <w:rPr>
          <w:sz w:val="22"/>
          <w:lang w:val="es-ES"/>
        </w:rPr>
        <w:lastRenderedPageBreak/>
        <w:t>a) Aumenta la documentación a procesar</w:t>
      </w:r>
    </w:p>
    <w:p w:rsidR="00161E0E" w:rsidRPr="00EC0AFF" w:rsidRDefault="00EC0AFF">
      <w:pPr>
        <w:pStyle w:val="T68Subbullet"/>
        <w:rPr>
          <w:sz w:val="22"/>
          <w:lang w:val="es-ES"/>
        </w:rPr>
      </w:pPr>
      <w:r w:rsidRPr="00EC0AFF">
        <w:rPr>
          <w:sz w:val="22"/>
          <w:lang w:val="es-ES"/>
        </w:rPr>
        <w:t>b) Reduce duplicidades documentales y mejora la eficiencia administrativa</w:t>
      </w:r>
    </w:p>
    <w:p w:rsidR="00161E0E" w:rsidRPr="00EC0AFF" w:rsidRDefault="00EC0AFF">
      <w:pPr>
        <w:pStyle w:val="T68Subbullet"/>
        <w:rPr>
          <w:sz w:val="22"/>
          <w:lang w:val="es-ES"/>
        </w:rPr>
      </w:pPr>
      <w:r w:rsidRPr="00EC0AFF">
        <w:rPr>
          <w:sz w:val="22"/>
          <w:lang w:val="es-ES"/>
        </w:rPr>
        <w:t>c) Disminuye el acceso a servicios electrónicos</w:t>
      </w:r>
    </w:p>
    <w:p w:rsidR="00161E0E" w:rsidRPr="00EC0AFF" w:rsidRDefault="00EC0AFF">
      <w:pPr>
        <w:pStyle w:val="T68Subbullet"/>
        <w:rPr>
          <w:sz w:val="22"/>
          <w:lang w:val="es-ES"/>
        </w:rPr>
      </w:pPr>
      <w:r w:rsidRPr="00EC0AFF">
        <w:rPr>
          <w:sz w:val="22"/>
          <w:lang w:val="es-ES"/>
        </w:rPr>
        <w:t>d) Hace el procedimiento más largo y burocrático</w:t>
      </w:r>
    </w:p>
    <w:p w:rsidR="00161E0E" w:rsidRPr="00EC0AFF" w:rsidRDefault="00EC0AFF">
      <w:pPr>
        <w:pStyle w:val="T68Body"/>
        <w:rPr>
          <w:sz w:val="22"/>
        </w:rPr>
      </w:pPr>
      <w:proofErr w:type="spellStart"/>
      <w:r w:rsidRPr="00EC0AFF">
        <w:rPr>
          <w:b/>
          <w:sz w:val="22"/>
        </w:rPr>
        <w:t>Respuestas</w:t>
      </w:r>
      <w:proofErr w:type="spellEnd"/>
      <w:r w:rsidRPr="00EC0AFF">
        <w:rPr>
          <w:b/>
          <w:sz w:val="22"/>
        </w:rPr>
        <w:t xml:space="preserve">: </w:t>
      </w:r>
      <w:r w:rsidRPr="00EC0AFF">
        <w:rPr>
          <w:sz w:val="22"/>
        </w:rPr>
        <w:t>1</w:t>
      </w:r>
      <w:proofErr w:type="gramStart"/>
      <w:r w:rsidRPr="00EC0AFF">
        <w:rPr>
          <w:sz w:val="22"/>
        </w:rPr>
        <w:t>b)  2</w:t>
      </w:r>
      <w:proofErr w:type="gramEnd"/>
      <w:r w:rsidRPr="00EC0AFF">
        <w:rPr>
          <w:sz w:val="22"/>
        </w:rPr>
        <w:t>c)  3b)  4b)  5b)  6b)  7b)  8c)  9b)  10b)  11a)  12b)  13b)  14b)  15b)</w:t>
      </w:r>
    </w:p>
    <w:p w:rsidR="00161E0E" w:rsidRDefault="00EC0AFF" w:rsidP="00EC0AFF">
      <w:pPr>
        <w:pStyle w:val="Ttulo1"/>
        <w:rPr>
          <w:lang w:val="es-ES"/>
        </w:rPr>
      </w:pPr>
      <w:bookmarkStart w:id="16" w:name="_Toc240909680"/>
      <w:r w:rsidRPr="00EC0AFF">
        <w:rPr>
          <w:lang w:val="es-ES"/>
        </w:rPr>
        <w:t>16. FUENTES NORMATIVAS Y OFICIALES DE REFERENCIA</w:t>
      </w:r>
      <w:bookmarkEnd w:id="16"/>
    </w:p>
    <w:p w:rsidR="00EC0AFF" w:rsidRPr="00EC0AFF" w:rsidRDefault="00EC0AFF" w:rsidP="00EC0AFF">
      <w:pPr>
        <w:rPr>
          <w:lang w:val="es-ES"/>
        </w:rPr>
      </w:pPr>
    </w:p>
    <w:p w:rsidR="00161E0E" w:rsidRPr="00EC0AFF" w:rsidRDefault="00EC0AFF">
      <w:pPr>
        <w:pStyle w:val="T68Body"/>
        <w:rPr>
          <w:sz w:val="22"/>
          <w:lang w:val="es-ES"/>
        </w:rPr>
      </w:pPr>
      <w:r w:rsidRPr="00EC0AFF">
        <w:rPr>
          <w:sz w:val="22"/>
          <w:lang w:val="es-ES"/>
        </w:rPr>
        <w:t>Contenido actualizado y contrastado con fuentes oficiales consultadas en septiembre de 2026. Para el estudio conviene priorizar la norma y documentación oficial sobre materiales divulgativos secundarios.</w:t>
      </w:r>
    </w:p>
    <w:p w:rsidR="00161E0E" w:rsidRPr="00EC0AFF" w:rsidRDefault="00EC0AFF">
      <w:pPr>
        <w:pStyle w:val="T68Bullet"/>
        <w:rPr>
          <w:sz w:val="22"/>
          <w:lang w:val="es-ES"/>
        </w:rPr>
      </w:pPr>
      <w:r w:rsidRPr="00EC0AFF">
        <w:rPr>
          <w:sz w:val="22"/>
          <w:lang w:val="es-ES"/>
        </w:rPr>
        <w:t>• Ley 39/2015, de 1 de octubre, del Procedimiento Administrativo Común de las Administraciones Públicas, especialmente artículo 28.</w:t>
      </w:r>
    </w:p>
    <w:p w:rsidR="00161E0E" w:rsidRPr="00EC0AFF" w:rsidRDefault="00EC0AFF">
      <w:pPr>
        <w:pStyle w:val="T68Bullet"/>
        <w:rPr>
          <w:sz w:val="22"/>
          <w:lang w:val="es-ES"/>
        </w:rPr>
      </w:pPr>
      <w:r w:rsidRPr="00EC0AFF">
        <w:rPr>
          <w:sz w:val="22"/>
          <w:lang w:val="es-ES"/>
        </w:rPr>
        <w:t>• Real Decreto 203/2021, de 30 de marzo, Reglamento de actuación y funcionamiento del sector público por medios electrónicos, especialmente artículo 62.</w:t>
      </w:r>
    </w:p>
    <w:p w:rsidR="00161E0E" w:rsidRPr="00EC0AFF" w:rsidRDefault="00EC0AFF">
      <w:pPr>
        <w:pStyle w:val="T68Bullet"/>
        <w:rPr>
          <w:sz w:val="22"/>
          <w:lang w:val="es-ES"/>
        </w:rPr>
      </w:pPr>
      <w:r w:rsidRPr="00EC0AFF">
        <w:rPr>
          <w:sz w:val="22"/>
          <w:lang w:val="es-ES"/>
        </w:rPr>
        <w:t>• Real Decreto 4/2010, de 8 de enero, por el que se regula el Esquema Nacional de Interoperabilidad.</w:t>
      </w:r>
    </w:p>
    <w:p w:rsidR="00161E0E" w:rsidRPr="00EC0AFF" w:rsidRDefault="00EC0AFF">
      <w:pPr>
        <w:pStyle w:val="T68Bullet"/>
        <w:rPr>
          <w:sz w:val="22"/>
          <w:lang w:val="es-ES"/>
        </w:rPr>
      </w:pPr>
      <w:r w:rsidRPr="00EC0AFF">
        <w:rPr>
          <w:sz w:val="22"/>
          <w:lang w:val="es-ES"/>
        </w:rPr>
        <w:t xml:space="preserve">• </w:t>
      </w:r>
      <w:r w:rsidRPr="00EC0AFF">
        <w:rPr>
          <w:b/>
          <w:sz w:val="22"/>
          <w:lang w:val="es-ES"/>
        </w:rPr>
        <w:t>Portal de Administración Electrónica:</w:t>
      </w:r>
      <w:r w:rsidRPr="00EC0AFF">
        <w:rPr>
          <w:sz w:val="22"/>
          <w:lang w:val="es-ES"/>
        </w:rPr>
        <w:t xml:space="preserve"> Red SARA, Sustitución de Certificados en Soporte Papel (SCSP) y Plataforma de Intermediación de Datos.</w:t>
      </w:r>
    </w:p>
    <w:p w:rsidR="00161E0E" w:rsidRPr="00EC0AFF" w:rsidRDefault="00EC0AFF">
      <w:pPr>
        <w:pStyle w:val="T68Bullet"/>
        <w:rPr>
          <w:sz w:val="22"/>
          <w:lang w:val="es-ES"/>
        </w:rPr>
      </w:pPr>
      <w:r w:rsidRPr="00EC0AFF">
        <w:rPr>
          <w:sz w:val="22"/>
          <w:lang w:val="es-ES"/>
        </w:rPr>
        <w:t xml:space="preserve">• </w:t>
      </w:r>
      <w:r w:rsidRPr="00EC0AFF">
        <w:rPr>
          <w:b/>
          <w:sz w:val="22"/>
          <w:lang w:val="es-ES"/>
        </w:rPr>
        <w:t>Junta de Andalucía / Agencia Digital de Andalucía:</w:t>
      </w:r>
      <w:r w:rsidRPr="00EC0AFF">
        <w:rPr>
          <w:sz w:val="22"/>
          <w:lang w:val="es-ES"/>
        </w:rPr>
        <w:t xml:space="preserve"> Red NEREA, topología y catálogo de servicios.</w:t>
      </w:r>
    </w:p>
    <w:p w:rsidR="00161E0E" w:rsidRPr="00EC0AFF" w:rsidRDefault="00EC0AFF">
      <w:pPr>
        <w:pStyle w:val="T68Bullet"/>
        <w:rPr>
          <w:sz w:val="22"/>
          <w:lang w:val="es-ES"/>
        </w:rPr>
      </w:pPr>
      <w:r w:rsidRPr="00EC0AFF">
        <w:rPr>
          <w:sz w:val="22"/>
          <w:lang w:val="es-ES"/>
        </w:rPr>
        <w:t xml:space="preserve">• </w:t>
      </w:r>
      <w:r w:rsidRPr="00EC0AFF">
        <w:rPr>
          <w:b/>
          <w:sz w:val="22"/>
          <w:lang w:val="es-ES"/>
        </w:rPr>
        <w:t>Servicio Andaluz de Salud:</w:t>
      </w:r>
      <w:r w:rsidRPr="00EC0AFF">
        <w:rPr>
          <w:sz w:val="22"/>
          <w:lang w:val="es-ES"/>
        </w:rPr>
        <w:t xml:space="preserve"> SIGLO Empresas; manuales EAN/GTIN y guías EDI de pedido, albarán, recepción, factura y GENRAL.</w:t>
      </w:r>
    </w:p>
    <w:p w:rsidR="00161E0E" w:rsidRPr="00EC0AFF" w:rsidRDefault="00EC0AFF">
      <w:pPr>
        <w:pStyle w:val="T68Bullet"/>
        <w:rPr>
          <w:sz w:val="22"/>
          <w:lang w:val="es-ES"/>
        </w:rPr>
      </w:pPr>
      <w:r w:rsidRPr="00EC0AFF">
        <w:rPr>
          <w:sz w:val="22"/>
          <w:lang w:val="es-ES"/>
        </w:rPr>
        <w:t xml:space="preserve">• </w:t>
      </w:r>
      <w:r w:rsidRPr="00EC0AFF">
        <w:rPr>
          <w:b/>
          <w:sz w:val="22"/>
          <w:lang w:val="es-ES"/>
        </w:rPr>
        <w:t>Ministerio de Sanidad:</w:t>
      </w:r>
      <w:r w:rsidRPr="00EC0AFF">
        <w:rPr>
          <w:sz w:val="22"/>
          <w:lang w:val="es-ES"/>
        </w:rPr>
        <w:t xml:space="preserve"> Historia Clínica Digital del SNS, Receta Electrónica Interoperable y Mi </w:t>
      </w:r>
      <w:proofErr w:type="spellStart"/>
      <w:r w:rsidRPr="00EC0AFF">
        <w:rPr>
          <w:sz w:val="22"/>
          <w:lang w:val="es-ES"/>
        </w:rPr>
        <w:t>Salud@UE</w:t>
      </w:r>
      <w:proofErr w:type="spellEnd"/>
      <w:r w:rsidRPr="00EC0AFF">
        <w:rPr>
          <w:sz w:val="22"/>
          <w:lang w:val="es-ES"/>
        </w:rPr>
        <w:t>.</w:t>
      </w:r>
    </w:p>
    <w:p w:rsidR="00161E0E" w:rsidRPr="00EC0AFF" w:rsidRDefault="00EC0AFF">
      <w:pPr>
        <w:pStyle w:val="T68Bullet"/>
        <w:rPr>
          <w:sz w:val="22"/>
          <w:lang w:val="es-ES"/>
        </w:rPr>
      </w:pPr>
      <w:r w:rsidRPr="00EC0AFF">
        <w:rPr>
          <w:sz w:val="22"/>
          <w:lang w:val="es-ES"/>
        </w:rPr>
        <w:t>• Reglamento (UE) 2025/327 del Parlamento Europeo y del Consejo, relativo al Espacio Europeo de Datos de Salud.</w:t>
      </w:r>
    </w:p>
    <w:p w:rsidR="00161E0E" w:rsidRPr="00EC0AFF" w:rsidRDefault="00EC0AFF">
      <w:pPr>
        <w:pStyle w:val="T68Bullet"/>
        <w:rPr>
          <w:sz w:val="22"/>
          <w:lang w:val="es-ES"/>
        </w:rPr>
      </w:pPr>
      <w:r w:rsidRPr="00EC0AFF">
        <w:rPr>
          <w:sz w:val="22"/>
          <w:lang w:val="es-ES"/>
        </w:rPr>
        <w:t xml:space="preserve">• </w:t>
      </w:r>
      <w:r w:rsidRPr="00EC0AFF">
        <w:rPr>
          <w:b/>
          <w:sz w:val="22"/>
          <w:lang w:val="es-ES"/>
        </w:rPr>
        <w:t>Comisión Europea:</w:t>
      </w:r>
      <w:r w:rsidRPr="00EC0AFF">
        <w:rPr>
          <w:sz w:val="22"/>
          <w:lang w:val="es-ES"/>
        </w:rPr>
        <w:t xml:space="preserve"> EESSI y servicios europeos de intercambio de información.</w:t>
      </w:r>
    </w:p>
    <w:sectPr w:rsidR="00161E0E" w:rsidRPr="00EC0AFF" w:rsidSect="00034616">
      <w:footerReference w:type="default" r:id="rId8"/>
      <w:pgSz w:w="12240" w:h="15840"/>
      <w:pgMar w:top="992" w:right="1219" w:bottom="879"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5813" w:rsidRDefault="000B5813">
      <w:pPr>
        <w:spacing w:after="0" w:line="240" w:lineRule="auto"/>
      </w:pPr>
      <w:r>
        <w:separator/>
      </w:r>
    </w:p>
  </w:endnote>
  <w:endnote w:type="continuationSeparator" w:id="0">
    <w:p w:rsidR="000B5813" w:rsidRDefault="000B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0AFF" w:rsidRDefault="00EC0AFF">
    <w:pPr>
      <w:pStyle w:val="Piedepgina"/>
      <w:jc w:val="center"/>
    </w:pPr>
    <w:r>
      <w:t xml:space="preserve">Tema 68 · OPE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5813" w:rsidRDefault="000B5813">
      <w:pPr>
        <w:spacing w:after="0" w:line="240" w:lineRule="auto"/>
      </w:pPr>
      <w:r>
        <w:separator/>
      </w:r>
    </w:p>
  </w:footnote>
  <w:footnote w:type="continuationSeparator" w:id="0">
    <w:p w:rsidR="000B5813" w:rsidRDefault="000B5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813"/>
    <w:rsid w:val="0015074B"/>
    <w:rsid w:val="00161E0E"/>
    <w:rsid w:val="0029639D"/>
    <w:rsid w:val="00326F90"/>
    <w:rsid w:val="00AA1D8D"/>
    <w:rsid w:val="00AD5D51"/>
    <w:rsid w:val="00B47730"/>
    <w:rsid w:val="00CB0664"/>
    <w:rsid w:val="00EC0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DB289"/>
  <w14:defaultImageDpi w14:val="300"/>
  <w15:docId w15:val="{B14CD7ED-6B6F-7748-BF49-3B5D10D0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50" w:line="250" w:lineRule="auto"/>
    </w:pPr>
    <w:rPr>
      <w:rFonts w:ascii="Trebuchet MS" w:eastAsia="Trebuchet MS" w:hAnsi="Trebuchet M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68H1">
    <w:name w:val="T68 H1"/>
    <w:pPr>
      <w:keepNext/>
      <w:spacing w:before="160" w:after="60" w:line="250" w:lineRule="auto"/>
    </w:pPr>
    <w:rPr>
      <w:rFonts w:ascii="Trebuchet MS" w:eastAsia="Trebuchet MS" w:hAnsi="Trebuchet MS"/>
      <w:b/>
      <w:sz w:val="26"/>
    </w:rPr>
  </w:style>
  <w:style w:type="paragraph" w:customStyle="1" w:styleId="T68H2">
    <w:name w:val="T68 H2"/>
    <w:pPr>
      <w:keepNext/>
      <w:spacing w:before="100" w:after="40" w:line="250" w:lineRule="auto"/>
    </w:pPr>
    <w:rPr>
      <w:rFonts w:ascii="Trebuchet MS" w:eastAsia="Trebuchet MS" w:hAnsi="Trebuchet MS"/>
      <w:b/>
    </w:rPr>
  </w:style>
  <w:style w:type="paragraph" w:customStyle="1" w:styleId="T68Body">
    <w:name w:val="T68 Body"/>
    <w:pPr>
      <w:spacing w:after="50" w:line="250" w:lineRule="auto"/>
    </w:pPr>
    <w:rPr>
      <w:rFonts w:ascii="Trebuchet MS" w:eastAsia="Trebuchet MS" w:hAnsi="Trebuchet MS"/>
      <w:sz w:val="20"/>
    </w:rPr>
  </w:style>
  <w:style w:type="paragraph" w:customStyle="1" w:styleId="T68Bullet">
    <w:name w:val="T68 Bullet"/>
    <w:pPr>
      <w:spacing w:after="24" w:line="250" w:lineRule="auto"/>
      <w:ind w:left="369" w:hanging="181"/>
    </w:pPr>
    <w:rPr>
      <w:rFonts w:ascii="Trebuchet MS" w:eastAsia="Trebuchet MS" w:hAnsi="Trebuchet MS"/>
      <w:sz w:val="20"/>
    </w:rPr>
  </w:style>
  <w:style w:type="paragraph" w:customStyle="1" w:styleId="T68Subbullet">
    <w:name w:val="T68 Subbullet"/>
    <w:pPr>
      <w:spacing w:after="20" w:line="250" w:lineRule="auto"/>
      <w:ind w:left="669" w:hanging="181"/>
    </w:pPr>
    <w:rPr>
      <w:rFonts w:ascii="Trebuchet MS" w:eastAsia="Trebuchet MS" w:hAnsi="Trebuchet MS"/>
      <w:sz w:val="20"/>
    </w:rPr>
  </w:style>
  <w:style w:type="paragraph" w:customStyle="1" w:styleId="T68Small">
    <w:name w:val="T68 Small"/>
    <w:pPr>
      <w:spacing w:after="30" w:line="250" w:lineRule="auto"/>
    </w:pPr>
    <w:rPr>
      <w:rFonts w:ascii="Trebuchet MS" w:eastAsia="Trebuchet MS" w:hAnsi="Trebuchet MS"/>
      <w:sz w:val="18"/>
    </w:rPr>
  </w:style>
  <w:style w:type="paragraph" w:styleId="TDC1">
    <w:name w:val="toc 1"/>
    <w:basedOn w:val="Normal"/>
    <w:next w:val="Normal"/>
    <w:autoRedefine/>
    <w:uiPriority w:val="39"/>
    <w:unhideWhenUsed/>
    <w:rsid w:val="00EC0AFF"/>
    <w:pPr>
      <w:spacing w:after="100"/>
    </w:pPr>
  </w:style>
  <w:style w:type="character" w:styleId="Hipervnculo">
    <w:name w:val="Hyperlink"/>
    <w:basedOn w:val="Fuentedeprrafopredeter"/>
    <w:uiPriority w:val="99"/>
    <w:unhideWhenUsed/>
    <w:rsid w:val="00EC0A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B90AE-81C5-964A-A794-15E76D716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6159</Words>
  <Characters>33878</Characters>
  <Application>Microsoft Office Word</Application>
  <DocSecurity>0</DocSecurity>
  <Lines>282</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Tema 68 - Intercambio electrónico de datos - Versión 2 completa</vt:lpstr>
      <vt:lpstr/>
    </vt:vector>
  </TitlesOfParts>
  <Manager/>
  <Company/>
  <LinksUpToDate>false</LinksUpToDate>
  <CharactersWithSpaces>39958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68 - Intercambio electrónico de datos - Versión 2 completa</dc:title>
  <dc:subject>Temario OPE actualizado y ampliado</dc:subject>
  <dc:creator/>
  <cp:keywords/>
  <dc:description>generated by python-docx</dc:description>
  <cp:lastModifiedBy>Usuario de Microsoft Office</cp:lastModifiedBy>
  <cp:revision>2</cp:revision>
  <cp:lastPrinted>2026-09-21T17:01:00Z</cp:lastPrinted>
  <dcterms:created xsi:type="dcterms:W3CDTF">2013-12-23T23:15:00Z</dcterms:created>
  <dcterms:modified xsi:type="dcterms:W3CDTF">2026-09-21T17:01:00Z</dcterms:modified>
  <cp:category/>
</cp:coreProperties>
</file>