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80"/>
      </w:pPr>
      <w:r>
        <w:rPr>
          <w:b/>
          <w:sz w:val="36"/>
          <w:szCs w:val="36"/>
        </w:rPr>
        <w:t xml:space="preserve">Meridian Capital Partners — April 2026 Treasury Findings Memo</w:t>
      </w:r>
    </w:p>
    <w:p>
      <w:pPr>
        <w:spacing w:before="80"/>
      </w:pPr>
      <w:r>
        <w:rPr>
          <w:b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Draft only — please hold this before it goes downstream. There's a blocking data-quality issue that has to be cleared first.</w:t>
      </w:r>
    </w:p>
    <w:p>
      <w:pPr>
        <w:spacing w:before="240"/>
      </w:pPr>
      <w:r>
        <w:rPr>
          <w:b/>
          <w:sz w:val="28"/>
          <w:szCs w:val="28"/>
        </w:rPr>
        <w:t xml:space="preserve">The short version</w:t>
      </w:r>
    </w:p>
    <w:p>
      <w:pPr>
        <w:spacing w:before="80"/>
      </w:pPr>
      <w:r>
        <w:rPr>
          <w:sz w:val="22"/>
          <w:szCs w:val="22"/>
        </w:rPr>
        <w:t xml:space="preserve">Honestly, the numbers underneath look solid: about $439,554,000 in corrected cash, $323,000,000 of available credit, and $762,554,000 of total liquidity across the 8 funds. But I can't recommend sending this out yet. The cash file mixes as-of dates, and per the README a consolidated report with mixed dates simply shouldn't be submitted.</w:t>
      </w:r>
    </w:p>
    <w:p>
      <w:pPr>
        <w:spacing w:before="80"/>
      </w:pPr>
      <w:r>
        <w:rPr>
          <w:sz w:val="22"/>
          <w:szCs w:val="22"/>
        </w:rPr>
        <w:t xml:space="preserve">Underneath that blocker I flagged 12 item(s) at Blocking or High severity. None of them are catastrophic, but a few I'd want closed before we put our name on the package. I've grouped everything by topic below, worst-first.</w:t>
      </w:r>
    </w:p>
    <w:p>
      <w:pPr>
        <w:spacing w:before="240"/>
      </w:pPr>
      <w:r>
        <w:rPr>
          <w:b/>
          <w:sz w:val="28"/>
          <w:szCs w:val="28"/>
        </w:rPr>
        <w:t xml:space="preserve">Findings by topic</w:t>
      </w:r>
    </w:p>
    <w:p>
      <w:pPr>
        <w:spacing w:before="180"/>
      </w:pPr>
      <w:r>
        <w:rPr>
          <w:b/>
          <w:sz w:val="26"/>
          <w:szCs w:val="26"/>
        </w:rPr>
        <w:t xml:space="preserve">Cash data integrity</w:t>
      </w:r>
    </w:p>
    <w:p>
      <w:pPr>
        <w:spacing w:before="80"/>
      </w:pPr>
      <w:r>
        <w:rPr>
          <w:sz w:val="22"/>
          <w:szCs w:val="22"/>
        </w:rPr>
        <w:t xml:space="preserve">This is the one that genuinely stops the press. Until every balance ties to the same as-of date we don't have a single snapshot — we have two half-pictures stitched together, and I'm not comfortable putting that in front of the CFO.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Blocking — Mixed cash as-of dates (MF-006).</w:t>
      </w:r>
      <w:r>
        <w:rPr>
          <w:sz w:val="22"/>
          <w:szCs w:val="22"/>
        </w:rPr>
        <w:t xml:space="preserve"> Cash positions include dates 2026-04-28, 2026-04-30; 1 row(s) are not 2026-04-30.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Refresh the stale cash balance(s), document the gap, and update the CFO with an expected resolution timeline.</w:t>
      </w:r>
    </w:p>
    <w:p>
      <w:pPr>
        <w:spacing w:before="180"/>
      </w:pPr>
      <w:r>
        <w:rPr>
          <w:b/>
          <w:sz w:val="26"/>
          <w:szCs w:val="26"/>
        </w:rPr>
        <w:t xml:space="preserve">FX conversion</w:t>
      </w:r>
    </w:p>
    <w:p>
      <w:pPr>
        <w:spacing w:before="80"/>
      </w:pPr>
      <w:r>
        <w:rPr>
          <w:sz w:val="22"/>
          <w:szCs w:val="22"/>
        </w:rPr>
        <w:t xml:space="preserve">On its own this looks like a footnote, but it quietly inflates the headline cash figure — and those are exactly the errors that cost you credibility when someone spots them later.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MF-004 balances use incorrect USD conversion (MF-004).</w:t>
      </w:r>
      <w:r>
        <w:rPr>
          <w:sz w:val="22"/>
          <w:szCs w:val="22"/>
        </w:rPr>
        <w:t xml:space="preserve"> 2 EUR row(s) are overstated by $252,000 versus the CFO-approved rate(s) (1.08 EUR/USD).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Recalculate USD balances from local currency using the fixed README rates and confirm source-system FX mapping.</w:t>
      </w:r>
    </w:p>
    <w:p>
      <w:pPr>
        <w:spacing w:before="180"/>
      </w:pPr>
      <w:r>
        <w:rPr>
          <w:b/>
          <w:sz w:val="26"/>
          <w:szCs w:val="26"/>
        </w:rPr>
        <w:t xml:space="preserve">Reserve account minimums</w:t>
      </w:r>
    </w:p>
    <w:p>
      <w:pPr>
        <w:spacing w:before="80"/>
      </w:pPr>
      <w:r>
        <w:rPr>
          <w:sz w:val="22"/>
          <w:szCs w:val="22"/>
        </w:rPr>
        <w:t xml:space="preserve">No single one of these is alarming, but seeing this many reserve accounts dip under the floor in the same month is a pattern I don't want to wave through.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MF-001 reserve account below $2M minimum (MF-001).</w:t>
      </w:r>
      <w:r>
        <w:rPr>
          <w:sz w:val="22"/>
          <w:szCs w:val="22"/>
        </w:rPr>
        <w:t xml:space="preserve"> Barclays </w:t>
      </w:r>
      <w:r>
        <w:rPr>
          <w:sz w:val="22"/>
          <w:szCs w:val="22"/>
        </w:rPr>
        <w:t xml:space="preserve">7104 has $1,079,500, short by $920,500.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Initiate top-up from the fund operating account and confirm completion.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MF-002 reserve account below $2M minimum (MF-002).</w:t>
      </w:r>
      <w:r>
        <w:rPr>
          <w:sz w:val="22"/>
          <w:szCs w:val="22"/>
        </w:rPr>
        <w:t xml:space="preserve"> HSBC </w:t>
      </w:r>
      <w:r>
        <w:rPr>
          <w:sz w:val="22"/>
          <w:szCs w:val="22"/>
        </w:rPr>
        <w:t xml:space="preserve">6291 has $1,512,000, short by $488,000.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Initiate top-up from the fund operating account and confirm completion.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MF-003 reserve account below $2M minimum (MF-003).</w:t>
      </w:r>
      <w:r>
        <w:rPr>
          <w:sz w:val="22"/>
          <w:szCs w:val="22"/>
        </w:rPr>
        <w:t xml:space="preserve"> Deutsche Bank </w:t>
      </w:r>
      <w:r>
        <w:rPr>
          <w:sz w:val="22"/>
          <w:szCs w:val="22"/>
        </w:rPr>
        <w:t xml:space="preserve">5520 has $1,026,000, short by $974,000.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Initiate top-up from the fund operating account and confirm completion.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MF-003 reserve account below $2M minimum (MF-003).</w:t>
      </w:r>
      <w:r>
        <w:rPr>
          <w:sz w:val="22"/>
          <w:szCs w:val="22"/>
        </w:rPr>
        <w:t xml:space="preserve"> Citibank </w:t>
      </w:r>
      <w:r>
        <w:rPr>
          <w:sz w:val="22"/>
          <w:szCs w:val="22"/>
        </w:rPr>
        <w:t xml:space="preserve">5516 has $1,500,000, short by $500,000.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Initiate top-up from the fund operating account and confirm completion.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MF-004 reserve account below $2M minimum (MF-004).</w:t>
      </w:r>
      <w:r>
        <w:rPr>
          <w:sz w:val="22"/>
          <w:szCs w:val="22"/>
        </w:rPr>
        <w:t xml:space="preserve"> Deutsche Bank </w:t>
      </w:r>
      <w:r>
        <w:rPr>
          <w:sz w:val="22"/>
          <w:szCs w:val="22"/>
        </w:rPr>
        <w:t xml:space="preserve">2211 has $1,944,000, short by $56,000.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Initiate top-up from the fund operating account and confirm completion.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MF-005 reserve account below $2M minimum (MF-005).</w:t>
      </w:r>
      <w:r>
        <w:rPr>
          <w:sz w:val="22"/>
          <w:szCs w:val="22"/>
        </w:rPr>
        <w:t xml:space="preserve"> BNP Paribas </w:t>
      </w:r>
      <w:r>
        <w:rPr>
          <w:sz w:val="22"/>
          <w:szCs w:val="22"/>
        </w:rPr>
        <w:t xml:space="preserve">4489 has $1,296,000, short by $704,000.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Initiate top-up from the fund operating account and confirm completion.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MF-006 reserve account below $2M minimum (MF-006).</w:t>
      </w:r>
      <w:r>
        <w:rPr>
          <w:sz w:val="22"/>
          <w:szCs w:val="22"/>
        </w:rPr>
        <w:t xml:space="preserve"> JPMorgan Chase </w:t>
      </w:r>
      <w:r>
        <w:rPr>
          <w:sz w:val="22"/>
          <w:szCs w:val="22"/>
        </w:rPr>
        <w:t xml:space="preserve">7232 has $1,850,000, short by $150,000.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Initiate top-up from the fund operating account and confirm completion.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MF-007 reserve account below $2M minimum (MF-007).</w:t>
      </w:r>
      <w:r>
        <w:rPr>
          <w:sz w:val="22"/>
          <w:szCs w:val="22"/>
        </w:rPr>
        <w:t xml:space="preserve"> Barclays </w:t>
      </w:r>
      <w:r>
        <w:rPr>
          <w:sz w:val="22"/>
          <w:szCs w:val="22"/>
        </w:rPr>
        <w:t xml:space="preserve">3363 has $762,000, short by $1,238,000.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Initiate top-up from the fund operating account and confirm completion.</w:t>
      </w:r>
    </w:p>
    <w:p>
      <w:pPr>
        <w:spacing w:before="180"/>
      </w:pPr>
      <w:r>
        <w:rPr>
          <w:b/>
          <w:sz w:val="26"/>
          <w:szCs w:val="26"/>
        </w:rPr>
        <w:t xml:space="preserve">Wire approval controls</w:t>
      </w:r>
    </w:p>
    <w:p>
      <w:pPr>
        <w:spacing w:before="80"/>
      </w:pPr>
      <w:r>
        <w:rPr>
          <w:sz w:val="22"/>
          <w:szCs w:val="22"/>
        </w:rPr>
        <w:t xml:space="preserve">The money has already moved, so I'm not panicking here — but these are control gaps, and control gaps are cheapest to fix while they're still small.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Wire above $5M completed with single approval (MF-005).</w:t>
      </w:r>
      <w:r>
        <w:rPr>
          <w:sz w:val="22"/>
          <w:szCs w:val="22"/>
        </w:rPr>
        <w:t xml:space="preserve"> WR-2026-0424 for $7,200,000 from MF-005 had 1 approver (sole approver: M. Torres).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Report the exception to the CFO and obtain/document retroactive review.</w:t>
      </w:r>
    </w:p>
    <w:p>
      <w:pPr>
        <w:spacing w:before="180"/>
      </w:pPr>
      <w:r>
        <w:rPr>
          <w:b/>
          <w:sz w:val="26"/>
          <w:szCs w:val="26"/>
        </w:rPr>
        <w:t xml:space="preserve">Credit facilities &amp; covenants</w:t>
      </w:r>
    </w:p>
    <w:p>
      <w:pPr>
        <w:spacing w:before="80"/>
      </w:pPr>
      <w:r>
        <w:rPr>
          <w:sz w:val="22"/>
          <w:szCs w:val="22"/>
        </w:rPr>
        <w:t xml:space="preserve">Liquidity overall looks comfortable, which is the good news. What nags at me is a facility or two sitting closer to its covenant ceiling than I'd like before any new draw.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High — Pending facility draw requires covenant verification (MF-003).</w:t>
      </w:r>
      <w:r>
        <w:rPr>
          <w:sz w:val="22"/>
          <w:szCs w:val="22"/>
        </w:rPr>
        <w:t xml:space="preserve"> WR-2026-0429 is a pending $12,000,000 facility draw. Current LTV is 58.0% versus 60.0% max.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Hold approval until LTV is recalculated with updated uncalled commitments or a lender waiver is documented.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Medium — MF-003 has limited LTV headroom (MF-003).</w:t>
      </w:r>
      <w:r>
        <w:rPr>
          <w:sz w:val="22"/>
          <w:szCs w:val="22"/>
        </w:rPr>
        <w:t xml:space="preserve"> Current LTV is 58.0% versus 60.0% max, leaving 2.0% headroom. </w:t>
      </w:r>
      <w:r>
        <w:rPr>
          <w:b/>
          <w:sz w:val="22"/>
          <w:szCs w:val="22"/>
        </w:rPr>
        <w:t xml:space="preserve">What I'd do:</w:t>
      </w:r>
      <w:r>
        <w:rPr>
          <w:sz w:val="22"/>
          <w:szCs w:val="22"/>
        </w:rPr>
        <w:t xml:space="preserve"> Reconfirm borrowing base data before further draws and monitor covenant headroom daily.</w:t>
      </w:r>
    </w:p>
    <w:p>
      <w:pPr>
        <w:spacing w:before="240"/>
      </w:pPr>
      <w:r>
        <w:rPr>
          <w:b/>
          <w:sz w:val="28"/>
          <w:szCs w:val="28"/>
        </w:rPr>
        <w:t xml:space="preserve">What I'd tackle first</w:t>
      </w:r>
    </w:p>
    <w:p>
      <w:pPr>
        <w:spacing w:before="80"/>
      </w:pPr>
      <w:r>
        <w:rPr>
          <w:sz w:val="22"/>
          <w:szCs w:val="22"/>
        </w:rPr>
        <w:t xml:space="preserve">If this were my first week, here's the order I'd work it: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Clear the blocker.</w:t>
      </w:r>
      <w:r>
        <w:rPr>
          <w:sz w:val="22"/>
          <w:szCs w:val="22"/>
        </w:rPr>
        <w:t xml:space="preserve"> Mixed cash as-of dates. Nothing else ships until the dates line up.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Restate the affected cash.</w:t>
      </w:r>
      <w:r>
        <w:rPr>
          <w:sz w:val="22"/>
          <w:szCs w:val="22"/>
        </w:rPr>
        <w:t xml:space="preserve"> Re-run the EUR balances at the agreed 1.08 rate and refresh the consolidated totals so the headline number is honest.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Chase the reserve top-ups.</w:t>
      </w:r>
      <w:r>
        <w:rPr>
          <w:sz w:val="22"/>
          <w:szCs w:val="22"/>
        </w:rPr>
        <w:t xml:space="preserve"> Initiate transfers from each fund's operating account and confirm every reserve is back above $2M.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Paper the wire exceptions.</w:t>
      </w:r>
      <w:r>
        <w:rPr>
          <w:sz w:val="22"/>
          <w:szCs w:val="22"/>
        </w:rPr>
        <w:t xml:space="preserve"> Document the single-approval and any unauthorized-approver items and flag them to the CFO as the policy requires.</w:t>
      </w:r>
    </w:p>
    <w:p>
      <w:pPr>
        <w:spacing w:before="40"/>
        <w:ind w:left="360" w:hanging="220"/>
      </w:pPr>
      <w:r>
        <w:rPr>
          <w:sz w:val="22"/>
          <w:szCs w:val="22"/>
        </w:rPr>
        <w:t xml:space="preserve">•	</w:t>
      </w:r>
      <w:r>
        <w:rPr>
          <w:b/>
          <w:sz w:val="22"/>
          <w:szCs w:val="22"/>
        </w:rPr>
        <w:t xml:space="preserve">Re-verify covenant headroom</w:t>
      </w:r>
      <w:r>
        <w:rPr>
          <w:sz w:val="22"/>
          <w:szCs w:val="22"/>
        </w:rPr>
        <w:t xml:space="preserve"> on the tighter facilities before signing off on any pending draw.</w:t>
      </w:r>
    </w:p>
    <w:p>
      <w:pPr>
        <w:spacing w:before="240"/>
      </w:pPr>
      <w:r>
        <w:rPr>
          <w:b/>
          <w:sz w:val="28"/>
          <w:szCs w:val="28"/>
        </w:rPr>
        <w:t xml:space="preserve">A note on how I used AI</w:t>
      </w:r>
    </w:p>
    <w:p>
      <w:pPr>
        <w:spacing w:before="80"/>
      </w:pPr>
      <w:r>
        <w:rPr>
          <w:sz w:val="22"/>
          <w:szCs w:val="22"/>
        </w:rPr>
        <w:t xml:space="preserve">Full transparency: I leaned on an AI assistant to scaffold the reproducible reporting pipeline, cross-check the policy rules against the README, and tighten the wording of this memo. The judgment calls — which issues matter, how I ranked severity, and what I'm recommending — are mine, and I tied every number back to the source files myself.</w:t>
      </w:r>
    </w:p>
    <w:sectPr>
      <w:pgSz w:w="12240" w:h="15840"/>
      <w:pgMar w:top="1440" w:right="1440" w:bottom="1440" w:left="1440"/>
    </w:sectPr>
  </w:body>
</w:document>
</file>