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MEMORIAL DESCRITIVO</w:t>
      </w:r>
    </w:p>
    <w:p>
      <w:pPr>
        <w:jc w:val="center"/>
      </w:pPr>
      <w:r>
        <w:rPr>
          <w:sz w:val="28"/>
        </w:rPr>
        <w:t>Reforma de Escritório — Exemplo AI.arq (fictício)</w:t>
      </w:r>
    </w:p>
    <w:p>
      <w:pPr>
        <w:jc w:val="center"/>
      </w:pPr>
      <w:r>
        <w:rPr>
          <w:b/>
          <w:color w:val="B91C1C"/>
          <w:sz w:val="24"/>
        </w:rPr>
        <w:t>RASCUNHO PARA REVISÃO DO RESPONSÁVEL TÉCNICO</w:t>
      </w:r>
    </w:p>
    <w:p>
      <w:pPr>
        <w:pStyle w:val="Heading1"/>
      </w:pPr>
      <w:r>
        <w:t>1. Apresentação</w:t>
      </w:r>
    </w:p>
    <w:p>
      <w:r>
        <w:t>Este memorial descritivo relaciona os serviços e materiais identificados no projeto, a partir da leitura do arquivo CAD (plantas e pranchas) enviado ao AI.arq. Ele foi organizado na sequência usual das etapas construtivas e serve como BASE para o memorial definitivo, a ser complementado, corrigido e assinado pelo responsável técnico.</w:t>
      </w:r>
    </w:p>
    <w:p>
      <w:r>
        <w:t>O levantamento contém 28 itens: 10 com quantidade medida diretamente da geometria do CAD e 18 com quantidade estimada ou a confirmar. No texto, cada item indica sua origem entre parênteses — “medido do CAD” ou “estimativa — a confirmar”. Nenhuma especificação, marca ou norma foi acrescentada além do que consta no próprio projeto; onde o memorial exige informação que não está no CAD, há um campo destacado [A PREENCHER PELO RESPONSÁVEL TÉCNICO].</w:t>
      </w:r>
    </w:p>
    <w:p>
      <w:pPr>
        <w:pStyle w:val="Heading1"/>
      </w:pPr>
      <w:r>
        <w:t>2. Dados da obra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</w:tcPr>
          <w:p>
            <w:r>
              <w:rPr>
                <w:b/>
              </w:rPr>
              <w:t>Obra / projeto</w:t>
            </w:r>
          </w:p>
        </w:tc>
        <w:tc>
          <w:tcPr>
            <w:tcW w:type="dxa" w:w="5953"/>
          </w:tcPr>
          <w:p>
            <w:r>
              <w:t>Reforma de Escritório — Exemplo AI.arq (fictício)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Tipologia</w:t>
            </w:r>
          </w:p>
        </w:tc>
        <w:tc>
          <w:tcPr>
            <w:tcW w:type="dxa" w:w="5953"/>
          </w:tcPr>
          <w:p>
            <w:r>
              <w:t>Escritório corporativo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Área total</w:t>
            </w:r>
          </w:p>
        </w:tc>
        <w:tc>
          <w:tcPr>
            <w:tcW w:type="dxa" w:w="5953"/>
          </w:tcPr>
          <w:p>
            <w:r>
              <w:t>118,5 m² (medida no projeto)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5953"/>
          </w:tcPr>
          <w:p>
            <w:r>
              <w:t>[A PREENCHER]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Proprietário / contratante</w:t>
            </w:r>
          </w:p>
        </w:tc>
        <w:tc>
          <w:tcPr>
            <w:tcW w:type="dxa" w:w="5953"/>
          </w:tcPr>
          <w:p>
            <w:r>
              <w:t>[A PREENCHER]</w:t>
            </w:r>
          </w:p>
        </w:tc>
      </w:tr>
    </w:tbl>
    <w:p>
      <w:pPr>
        <w:pStyle w:val="Heading1"/>
      </w:pPr>
      <w:r>
        <w:t>3. Responsabilidade técnica</w:t>
      </w:r>
    </w:p>
    <w:p>
      <w:r>
        <w:rPr>
          <w:i/>
          <w:color w:val="B45B09"/>
          <w:sz w:val="20"/>
        </w:rPr>
        <w:t>[A PREENCHER PELO RESPONSÁVEL TÉCNICO: nome do responsável técnico, título profissional, registro CAU/CREA e número da RRT/ART.]</w:t>
      </w:r>
    </w:p>
    <w:p>
      <w:pPr>
        <w:pStyle w:val="Heading1"/>
      </w:pPr>
      <w:r>
        <w:t>4. Serviços Preliminares</w:t>
      </w:r>
    </w:p>
    <w:p>
      <w:r>
        <w:t>Os serviços preliminares compreendem os itens identificados no projeto, conforme relação abaixo:</w:t>
      </w:r>
    </w:p>
    <w:p>
      <w:pPr>
        <w:pStyle w:val="ListBullet"/>
      </w:pPr>
      <w:r>
        <w:t>Administração da obra e mobilização de canteiro — 1 vb (estimativa — a confirmar) Obs.: Sem desenho para este item: a IA o incluiu pela lista de serviços de uma reforma</w:t>
      </w:r>
      <w:r>
        <w:rPr>
          <w:b/>
          <w:color w:val="B45B09"/>
        </w:rPr>
        <w:t xml:space="preserve"> — defina a quantidade conforme o contrato.</w:t>
      </w:r>
    </w:p>
    <w:p>
      <w:pPr>
        <w:pStyle w:val="ListBullet"/>
      </w:pPr>
      <w:r>
        <w:t>Limpeza final da obra — 118,5 m² (estimativa</w:t>
      </w:r>
      <w:r>
        <w:rPr>
          <w:b/>
          <w:color w:val="B45B09"/>
        </w:rPr>
        <w:t xml:space="preserve"> — a confirmar) Obs.: Fonte: área construída do quadro de áreas = 118,50 m². Item de praxe em reforma: ajuste se a limpeza for só na área reformada.</w:t>
      </w:r>
    </w:p>
    <w:p>
      <w:r>
        <w:rPr>
          <w:i/>
          <w:color w:val="B45B09"/>
          <w:sz w:val="20"/>
        </w:rPr>
        <w:t>[A PREENCHER PELO RESPONSÁVEL TÉCNICO: especificações complementares, método executivo e marcas/modelos de referência.]</w:t>
      </w:r>
    </w:p>
    <w:p>
      <w:pPr>
        <w:pStyle w:val="Heading1"/>
      </w:pPr>
      <w:r>
        <w:t>5. Demolição e Remoção</w:t>
      </w:r>
    </w:p>
    <w:p>
      <w:r>
        <w:t>Os serviços de demolição e remoção compreendem os itens identificados no projeto, conforme relação abaixo:</w:t>
      </w:r>
    </w:p>
    <w:p>
      <w:pPr>
        <w:pStyle w:val="ListBullet"/>
      </w:pPr>
      <w:r>
        <w:t>Demolição de alvenaria de vedação (e=15cm)</w:t>
      </w:r>
      <w:r>
        <w:rPr>
          <w:b/>
          <w:color w:val="B45B09"/>
        </w:rPr>
        <w:t xml:space="preserve"> — quantidade a confirmar Obs.: Paredes marcadas 'a demolir' na planta, sem layer próprio: sem layer, não há comprimento pra medir. Preencha pela planta de demolição.</w:t>
      </w:r>
    </w:p>
    <w:p>
      <w:pPr>
        <w:pStyle w:val="ListBullet"/>
      </w:pPr>
      <w:r>
        <w:t>Remoção de divisória existente — 18 m² (estimativa</w:t>
      </w:r>
      <w:r>
        <w:rPr>
          <w:b/>
          <w:color w:val="B45B09"/>
        </w:rPr>
        <w:t xml:space="preserve"> — a confirmar) Obs.: Fonte: comprimento do layer 'ARQ-DEMOLIR-DIV' = 7,20 m × altura 2,50 m (cota do corte AA) = 18,00 m². A altura vem de um corte só: confira se ela vale pra divisória inteira.</w:t>
      </w:r>
    </w:p>
    <w:p>
      <w:r>
        <w:rPr>
          <w:i/>
          <w:color w:val="B45B09"/>
          <w:sz w:val="20"/>
        </w:rPr>
        <w:t>[A PREENCHER PELO RESPONSÁVEL TÉCNICO: especificações complementares, método executivo e marcas/modelos de referência.]</w:t>
      </w:r>
    </w:p>
    <w:p>
      <w:pPr>
        <w:pStyle w:val="Heading1"/>
      </w:pPr>
      <w:r>
        <w:t>6. Fechamentos Verticais</w:t>
      </w:r>
    </w:p>
    <w:p>
      <w:r>
        <w:t>Os serviços de fechamentos verticais compreendem os itens identificados no projeto, conforme relação abaixo:</w:t>
      </w:r>
    </w:p>
    <w:p>
      <w:pPr>
        <w:pStyle w:val="ListBullet"/>
      </w:pPr>
      <w:r>
        <w:t>Alvenaria de bloco cerâmico e=14cm — 41,2 m² (estimativa</w:t>
      </w:r>
      <w:r>
        <w:rPr>
          <w:b/>
          <w:color w:val="B45B09"/>
        </w:rPr>
        <w:t xml:space="preserve"> — a confirmar) Obs.: Fonte: comprimento do layer 'ARQ-ALV-CONSTRUIR' = 16,48 m × altura 2,50 m (cota do corte AA) = 41,20 m². A altura vem de um corte só: confira se ela vale pra parede inteira.</w:t>
      </w:r>
    </w:p>
    <w:p>
      <w:pPr>
        <w:pStyle w:val="ListBullet"/>
      </w:pPr>
      <w:r>
        <w:t>Divisória em drywall (2 faces, com lã) — 33,8 m² (estimativa</w:t>
      </w:r>
      <w:r>
        <w:rPr>
          <w:b/>
          <w:color w:val="B45B09"/>
        </w:rPr>
        <w:t xml:space="preserve"> — a confirmar) Obs.: Fonte: comprimento do layer 'ARQ-DRYWALL' = 13,52 m × altura 2,50 m (cota do corte AA) = 33,80 m². A altura vem de um corte só: confira se o drywall vai até a laje ou para no forro.</w:t>
      </w:r>
    </w:p>
    <w:p>
      <w:r>
        <w:rPr>
          <w:i/>
          <w:color w:val="B45B09"/>
          <w:sz w:val="20"/>
        </w:rPr>
        <w:t>[A PREENCHER PELO RESPONSÁVEL TÉCNICO: traço da argamassa de assentamento e de revestimento, e especificação do bloco/tijolo quando não indicada em projeto.]</w:t>
      </w:r>
    </w:p>
    <w:p>
      <w:pPr>
        <w:pStyle w:val="Heading1"/>
      </w:pPr>
      <w:r>
        <w:t>7. Divisórias e Vidros</w:t>
      </w:r>
    </w:p>
    <w:p>
      <w:r>
        <w:t>Os serviços de divisórias e vidros compreendem os itens identificados no projeto, conforme relação abaixo:</w:t>
      </w:r>
    </w:p>
    <w:p>
      <w:pPr>
        <w:pStyle w:val="ListBullet"/>
      </w:pPr>
      <w:r>
        <w:t>Porta de madeira 80x210 com batente e ferragens</w:t>
      </w:r>
      <w:r>
        <w:rPr>
          <w:b/>
        </w:rPr>
        <w:t xml:space="preserve"> — 6 un (medido do CAD) Obs.: Fonte: 6 blocos 'PORTA-MAD-80X210' contados no desenho</w:t>
      </w:r>
    </w:p>
    <w:p>
      <w:pPr>
        <w:pStyle w:val="ListBullet"/>
      </w:pPr>
      <w:r>
        <w:t>Porta de vidro temperado 90x210</w:t>
      </w:r>
      <w:r>
        <w:rPr>
          <w:b/>
        </w:rPr>
        <w:t xml:space="preserve"> — 2 un (medido do CAD) Obs.: Fonte: 2 blocos 'PORTA-VIDRO-90X210' contados no desenho</w:t>
      </w:r>
    </w:p>
    <w:p>
      <w:r>
        <w:rPr>
          <w:i/>
          <w:color w:val="B45B09"/>
          <w:sz w:val="20"/>
        </w:rPr>
        <w:t>[A PREENCHER PELO RESPONSÁVEL TÉCNICO: especificações complementares, método executivo e marcas/modelos de referência.]</w:t>
      </w:r>
    </w:p>
    <w:p>
      <w:pPr>
        <w:pStyle w:val="Heading1"/>
      </w:pPr>
      <w:r>
        <w:t>8. Instalações Elétricas e Dados</w:t>
      </w:r>
    </w:p>
    <w:p>
      <w:r>
        <w:t>Os serviços de instalações elétricas e dados compreendem os itens identificados no projeto, conforme relação abaixo:</w:t>
      </w:r>
    </w:p>
    <w:p>
      <w:pPr>
        <w:pStyle w:val="ListBullet"/>
      </w:pPr>
      <w:r>
        <w:t>Ponto de tomada 2P+T 10A</w:t>
      </w:r>
      <w:r>
        <w:rPr>
          <w:b/>
        </w:rPr>
        <w:t xml:space="preserve"> — 32 un (medido do CAD) Obs.: Fonte: 32 blocos 'TOM-2P+T-10A' contados no desenho</w:t>
      </w:r>
    </w:p>
    <w:p>
      <w:pPr>
        <w:pStyle w:val="ListBullet"/>
      </w:pPr>
      <w:r>
        <w:t>Ponto de interruptor</w:t>
      </w:r>
      <w:r>
        <w:rPr>
          <w:b/>
        </w:rPr>
        <w:t xml:space="preserve"> — 14 un (medido do CAD) Obs.: Fonte: 14 blocos 'INTERRUPTOR' contados no desenho</w:t>
      </w:r>
    </w:p>
    <w:p>
      <w:pPr>
        <w:pStyle w:val="ListBullet"/>
      </w:pPr>
      <w:r>
        <w:t>Ponto de rede/dados RJ45 cat6</w:t>
      </w:r>
      <w:r>
        <w:rPr>
          <w:b/>
        </w:rPr>
        <w:t xml:space="preserve"> — 20 un (medido do CAD) Obs.: Fonte: 20 blocos 'PT-REDE-RJ45' contados no desenho</w:t>
      </w:r>
    </w:p>
    <w:p>
      <w:pPr>
        <w:pStyle w:val="ListBullet"/>
      </w:pPr>
      <w:r>
        <w:t>Eletroduto flexível corrugado DN 25 no forro (pontos novos)</w:t>
      </w:r>
      <w:r>
        <w:rPr>
          <w:b/>
          <w:color w:val="B45B09"/>
        </w:rPr>
        <w:t xml:space="preserve"> — quantidade a confirmar Obs.: Os pontos foram contados (tomadas, interruptores e rede), mas o caminho dos eletrodutos não está desenhado: sem traçado, não há comprimento. Preencha pelo projeto de elétrica.</w:t>
      </w:r>
    </w:p>
    <w:p>
      <w:r>
        <w:rPr>
          <w:i/>
          <w:color w:val="B45B09"/>
          <w:sz w:val="20"/>
        </w:rPr>
        <w:t>[A PREENCHER PELO RESPONSÁVEL TÉCNICO: quadros de cargas, balanceamento e aterramento.]</w:t>
      </w:r>
    </w:p>
    <w:p>
      <w:pPr>
        <w:pStyle w:val="Heading1"/>
      </w:pPr>
      <w:r>
        <w:t>9. Iluminação</w:t>
      </w:r>
    </w:p>
    <w:p>
      <w:r>
        <w:t>Os serviços de iluminação compreendem os itens identificados no projeto, conforme relação abaixo:</w:t>
      </w:r>
    </w:p>
    <w:p>
      <w:pPr>
        <w:pStyle w:val="ListBullet"/>
      </w:pPr>
      <w:r>
        <w:t>Luminária LED de embutir 60x60</w:t>
      </w:r>
      <w:r>
        <w:rPr>
          <w:b/>
        </w:rPr>
        <w:t xml:space="preserve"> — 24 un (medido do CAD) Obs.: Fonte: 24 blocos 'LUM-EMB-60X60' contados no desenho</w:t>
      </w:r>
    </w:p>
    <w:p>
      <w:pPr>
        <w:pStyle w:val="ListBullet"/>
      </w:pPr>
      <w:r>
        <w:t>Spot LED de embutir redondo</w:t>
      </w:r>
      <w:r>
        <w:rPr>
          <w:b/>
        </w:rPr>
        <w:t xml:space="preserve"> — 18 un (medido do CAD) Obs.: Fonte: 18 blocos 'SPOT-EMB-RED' contados no desenho</w:t>
      </w:r>
    </w:p>
    <w:p>
      <w:pPr>
        <w:pStyle w:val="ListBullet"/>
      </w:pPr>
      <w:r>
        <w:t>Pendente decorativo sobre bancada</w:t>
      </w:r>
      <w:r>
        <w:rPr>
          <w:b/>
        </w:rPr>
        <w:t xml:space="preserve"> — 3 un (medido do CAD) Obs.: Fonte: 3 blocos 'PENDENTE-BANCADA' contados no desenho</w:t>
      </w:r>
    </w:p>
    <w:p>
      <w:r>
        <w:rPr>
          <w:i/>
          <w:color w:val="B45B09"/>
          <w:sz w:val="20"/>
        </w:rPr>
        <w:t>[A PREENCHER PELO RESPONSÁVEL TÉCNICO: especificações complementares, método executivo e marcas/modelos de referência.]</w:t>
      </w:r>
    </w:p>
    <w:p>
      <w:pPr>
        <w:pStyle w:val="Heading1"/>
      </w:pPr>
      <w:r>
        <w:t>10. Instalações Hidráulicas</w:t>
      </w:r>
    </w:p>
    <w:p>
      <w:r>
        <w:t>Os serviços de instalações hidráulicas compreendem os itens identificados no projeto, conforme relação abaixo:</w:t>
      </w:r>
    </w:p>
    <w:p>
      <w:pPr>
        <w:pStyle w:val="ListBullet"/>
      </w:pPr>
      <w:r>
        <w:t>Bacia sanitária com caixa acoplada — 3 un (estimativa — a confirmar) Obs.: Fonte: texto layer 'ARQ-TEXTO'</w:t>
      </w:r>
      <w:r>
        <w:rPr>
          <w:b/>
          <w:color w:val="B45B09"/>
        </w:rPr>
        <w:t xml:space="preserve"> — 'SANITÁRIOS: 3 BACIAS C/ CAIXA ACOPLADA'. Texto é declaração, não medição: não há bloco no desenho.</w:t>
      </w:r>
    </w:p>
    <w:p>
      <w:pPr>
        <w:pStyle w:val="ListBullet"/>
      </w:pPr>
      <w:r>
        <w:t>Cuba de apoio + torneira (copa) — 1 un (estimativa — a confirmar) Obs.: Fonte: texto layer 'ARQ-TEXTO'</w:t>
      </w:r>
      <w:r>
        <w:rPr>
          <w:b/>
          <w:color w:val="B45B09"/>
        </w:rPr>
        <w:t xml:space="preserve"> — 'COPA: CUBA DE APOIO C/ TORNEIRA'. Texto é declaração, não medição: não há bloco no desenho.</w:t>
      </w:r>
    </w:p>
    <w:p>
      <w:r>
        <w:rPr>
          <w:i/>
          <w:color w:val="B45B09"/>
          <w:sz w:val="20"/>
        </w:rPr>
        <w:t>[A PREENCHER PELO RESPONSÁVEL TÉCNICO: pressões de teste, caimentos e detalhes executivos.]</w:t>
      </w:r>
    </w:p>
    <w:p>
      <w:pPr>
        <w:pStyle w:val="Heading1"/>
      </w:pPr>
      <w:r>
        <w:t>11. Ar-Condicionado</w:t>
      </w:r>
    </w:p>
    <w:p>
      <w:r>
        <w:t>Os serviços de ar-condicionado compreendem os itens identificados no projeto, conforme relação abaixo:</w:t>
      </w:r>
    </w:p>
    <w:p>
      <w:pPr>
        <w:pStyle w:val="ListBullet"/>
      </w:pPr>
      <w:r>
        <w:t>Ar-condicionado split cassete 36.000 BTU</w:t>
      </w:r>
      <w:r>
        <w:rPr>
          <w:b/>
        </w:rPr>
        <w:t xml:space="preserve"> — 2 un (medido do CAD) Obs.: Fonte: 2 blocos 'AC-CASSETE-36K' contados no desenho</w:t>
      </w:r>
    </w:p>
    <w:p>
      <w:r>
        <w:rPr>
          <w:i/>
          <w:color w:val="B45B09"/>
          <w:sz w:val="20"/>
        </w:rPr>
        <w:t>[A PREENCHER PELO RESPONSÁVEL TÉCNICO: especificações complementares, método executivo e marcas/modelos de referência.]</w:t>
      </w:r>
    </w:p>
    <w:p>
      <w:pPr>
        <w:pStyle w:val="Heading1"/>
      </w:pPr>
      <w:r>
        <w:t>12. Revestimentos</w:t>
      </w:r>
    </w:p>
    <w:p>
      <w:r>
        <w:t>Os serviços de revestimentos compreendem os itens identificados no projeto, conforme relação abaixo:</w:t>
      </w:r>
    </w:p>
    <w:p>
      <w:pPr>
        <w:pStyle w:val="ListBullet"/>
      </w:pPr>
      <w:r>
        <w:t>Pintura látex acrílica em parede (2 demãos) — 214 m² (estimativa — a confirmar) Obs.: Estimada pela IA: perímetro das paredes × altura, descontando as portas</w:t>
      </w:r>
      <w:r>
        <w:rPr>
          <w:b/>
          <w:color w:val="B45B09"/>
        </w:rPr>
        <w:t xml:space="preserve"> — as paredes existentes não têm layer de acabamento. Confira no CAD.</w:t>
      </w:r>
    </w:p>
    <w:p>
      <w:pPr>
        <w:pStyle w:val="ListBullet"/>
      </w:pPr>
      <w:r>
        <w:t>Pintura em forro de gesso — 101,7 m² (estimativa — a confirmar) Obs.: Estimada pela IA com a área do forro de gesso</w:t>
      </w:r>
      <w:r>
        <w:rPr>
          <w:b/>
          <w:color w:val="B45B09"/>
        </w:rPr>
        <w:t xml:space="preserve"> — confirme se o forro inteiro recebe pintura.</w:t>
      </w:r>
    </w:p>
    <w:p>
      <w:pPr>
        <w:pStyle w:val="ListBullet"/>
      </w:pPr>
      <w:r>
        <w:t>Revestimento cerâmico 33x45 em parede (sanitários e copa)</w:t>
      </w:r>
      <w:r>
        <w:rPr>
          <w:b/>
          <w:color w:val="B45B09"/>
        </w:rPr>
        <w:t xml:space="preserve"> — quantidade a confirmar Obs.: A legenda pede revestimento até o forro nos sanitários e na copa, mas o desenho não tem hachura nem vista dessas paredes: sem medida, a linha vem em branco. Preencha pela altura e pelo perímetro de cada ambiente.</w:t>
      </w:r>
    </w:p>
    <w:p>
      <w:r>
        <w:rPr>
          <w:i/>
          <w:color w:val="B45B09"/>
          <w:sz w:val="20"/>
        </w:rPr>
        <w:t>[A PREENCHER PELO RESPONSÁVEL TÉCNICO: preparo de base, argamassa colante e rejunte.]</w:t>
      </w:r>
    </w:p>
    <w:p>
      <w:pPr>
        <w:pStyle w:val="Heading1"/>
      </w:pPr>
      <w:r>
        <w:t>13. Forros</w:t>
      </w:r>
    </w:p>
    <w:p>
      <w:r>
        <w:t>Os serviços de forros compreendem os itens identificados no projeto, conforme relação abaixo:</w:t>
      </w:r>
    </w:p>
    <w:p>
      <w:pPr>
        <w:pStyle w:val="ListBullet"/>
      </w:pPr>
      <w:r>
        <w:t>Forro de gesso acartonado liso — 101,7 m² (estimativa</w:t>
      </w:r>
      <w:r>
        <w:rPr>
          <w:b/>
          <w:color w:val="B45B09"/>
        </w:rPr>
        <w:t xml:space="preserve"> — a confirmar) Obs.: Fonte: hachura do layer 'FORRO-GESSO' = 101,70 m², somando vários ambientes. Confira se todos levam o mesmo forro.</w:t>
      </w:r>
    </w:p>
    <w:p>
      <w:pPr>
        <w:pStyle w:val="ListBullet"/>
      </w:pPr>
      <w:r>
        <w:t>Sanca de gesso perimetral — 46 m (estimativa — a confirmar) Obs.: A sanca não tem layer próprio: a IA estimou o perímetro pelo contorno do forro</w:t>
      </w:r>
      <w:r>
        <w:rPr>
          <w:b/>
          <w:color w:val="B45B09"/>
        </w:rPr>
        <w:t xml:space="preserve"> — confira no CAD.</w:t>
      </w:r>
    </w:p>
    <w:p>
      <w:r>
        <w:rPr>
          <w:i/>
          <w:color w:val="B45B09"/>
          <w:sz w:val="20"/>
        </w:rPr>
        <w:t>[A PREENCHER PELO RESPONSÁVEL TÉCNICO: especificações complementares, método executivo e marcas/modelos de referência.]</w:t>
      </w:r>
    </w:p>
    <w:p>
      <w:pPr>
        <w:pStyle w:val="Heading1"/>
      </w:pPr>
      <w:r>
        <w:t>14. Pisos e Rodapés</w:t>
      </w:r>
    </w:p>
    <w:p>
      <w:r>
        <w:t>Os serviços de pisos e rodapés compreendem os itens identificados no projeto, conforme relação abaixo:</w:t>
      </w:r>
    </w:p>
    <w:p>
      <w:pPr>
        <w:pStyle w:val="ListBullet"/>
      </w:pPr>
      <w:r>
        <w:t>Contrapiso desempenado e=4cm — 108,3 m² (estimativa</w:t>
      </w:r>
      <w:r>
        <w:rPr>
          <w:b/>
          <w:color w:val="B45B09"/>
        </w:rPr>
        <w:t xml:space="preserve"> — a confirmar) Obs.: Fonte: soma das hachuras dos layers 'PISO-PORCELANATO' + 'PISO-VINILICO' = 108,30 m². O contrapiso não tem hachura própria: confira se ele vai sob todo o piso novo.</w:t>
      </w:r>
    </w:p>
    <w:p>
      <w:pPr>
        <w:pStyle w:val="ListBullet"/>
      </w:pPr>
      <w:r>
        <w:t>Piso porcelanato retificado 60x60 — 86,1 m² (estimativa</w:t>
      </w:r>
      <w:r>
        <w:rPr>
          <w:b/>
          <w:color w:val="B45B09"/>
        </w:rPr>
        <w:t xml:space="preserve"> — a confirmar) Obs.: Fonte: hachura do layer 'PISO-PORCELANATO' = 86,10 m², somando vários ambientes. Confira ambiente por ambiente se o acabamento é o mesmo.</w:t>
      </w:r>
    </w:p>
    <w:p>
      <w:pPr>
        <w:pStyle w:val="ListBullet"/>
      </w:pPr>
      <w:r>
        <w:t>Rodapé em porcelanato h=7cm</w:t>
      </w:r>
      <w:r>
        <w:rPr>
          <w:b/>
        </w:rPr>
        <w:t xml:space="preserve"> — 84,6 m (medido do CAD) Obs.: Fonte: comprimento do layer 'ARQ-RODAPE' = 84,60 m</w:t>
      </w:r>
    </w:p>
    <w:p>
      <w:pPr>
        <w:pStyle w:val="ListBullet"/>
      </w:pPr>
      <w:r>
        <w:t>Piso vinílico em manta (sala de reunião) — 22,2 m² (estimativa</w:t>
      </w:r>
      <w:r>
        <w:rPr>
          <w:b/>
          <w:color w:val="B45B09"/>
        </w:rPr>
        <w:t xml:space="preserve"> — a confirmar) Obs.: Fonte: hachura do layer 'PISO-VINILICO' = 22,20 m². Confira na planta se a manta cobre a sala de reunião inteira.</w:t>
      </w:r>
    </w:p>
    <w:p>
      <w:pPr>
        <w:pStyle w:val="ListBullet"/>
      </w:pPr>
      <w:r>
        <w:t>Soleira de granito nas portas (largura 15 cm) — 4,8 m (estimativa</w:t>
      </w:r>
      <w:r>
        <w:rPr>
          <w:b/>
          <w:color w:val="B45B09"/>
        </w:rPr>
        <w:t xml:space="preserve"> — a confirmar)</w:t>
      </w:r>
    </w:p>
    <w:p>
      <w:r>
        <w:rPr>
          <w:i/>
          <w:color w:val="B45B09"/>
          <w:sz w:val="20"/>
        </w:rPr>
        <w:t>[A PREENCHER PELO RESPONSÁVEL TÉCNICO: preparo de contrapiso, argamassa colante e rejunte.]</w:t>
      </w:r>
    </w:p>
    <w:p>
      <w:pPr>
        <w:pStyle w:val="Heading1"/>
      </w:pPr>
      <w:r>
        <w:t>15. Considerações finais</w:t>
      </w:r>
    </w:p>
    <w:p>
      <w:r>
        <w:t>Havendo divergência entre este memorial e os desenhos do projeto, prevalecem os desenhos. As quantidades assinaladas como estimativa devem ser conferidas pelo responsável técnico antes de qualquer uso contratual, bancário ou de aprovação. Este documento é um rascunho gerado automaticamente a partir do arquivo CAD e não possui validade como memorial descritivo até ser revisado, complementado e assinado pelo responsável técnico.</w:t>
      </w:r>
    </w:p>
    <w:p>
      <w:pPr>
        <w:pStyle w:val="Heading1"/>
      </w:pPr>
      <w:r>
        <w:t>16. Encerramento e assinaturas</w:t>
      </w:r>
    </w:p>
    <w:p>
      <w:r>
        <w:t>Local e data: ____________________________, ____/____/______</w:t>
      </w:r>
    </w:p>
    <w:p/>
    <w:p>
      <w:r>
        <w:t>_________________________________________</w:t>
        <w:br/>
        <w:t>Proprietário / contratante</w:t>
      </w:r>
    </w:p>
    <w:p/>
    <w:p>
      <w:r>
        <w:t>_________________________________________</w:t>
        <w:br/>
        <w:t>Responsável técnico — registro e RRT/ART nº [A PREENCHER]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Rascunho gerado pelo AI.arq a partir do arquivo CAD do projeto em 18/10/2026 · quantidades estimadas devem ser confirmadas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B91C1C"/>
        <w:sz w:val="16"/>
      </w:rPr>
      <w:t>RASCUNHO — para revisão do responsável técnico. Não substitui o memorial assinado (RRT/ART).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