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2475" w:rsidRPr="00045866" w:rsidRDefault="00045866" w:rsidP="001C7581">
      <w:pPr>
        <w:jc w:val="center"/>
        <w:rPr>
          <w:i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rial" w:hAnsi="Arial" w:cs="Arial"/>
          <w:i/>
          <w:color w:val="000000" w:themeColor="text1"/>
          <w:sz w:val="27"/>
          <w:szCs w:val="27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</w:t>
      </w:r>
      <w:r w:rsidR="001C7581" w:rsidRPr="00045866">
        <w:rPr>
          <w:rFonts w:ascii="Arial" w:hAnsi="Arial" w:cs="Arial"/>
          <w:i/>
          <w:color w:val="000000" w:themeColor="text1"/>
          <w:sz w:val="27"/>
          <w:szCs w:val="27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ataset 1 lab</w:t>
      </w:r>
      <w:r>
        <w:rPr>
          <w:rFonts w:ascii="Arial" w:hAnsi="Arial" w:cs="Arial"/>
          <w:i/>
          <w:color w:val="000000" w:themeColor="text1"/>
          <w:sz w:val="27"/>
          <w:szCs w:val="27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:rsidR="001C7581" w:rsidRDefault="001C7581" w:rsidP="001C7581">
      <w:pPr>
        <w:pStyle w:val="Prrafodelista"/>
        <w:numPr>
          <w:ilvl w:val="0"/>
          <w:numId w:val="1"/>
        </w:numPr>
      </w:pPr>
      <w:r w:rsidRPr="001C7581">
        <w:rPr>
          <w:b/>
          <w:bCs/>
        </w:rPr>
        <w:t>Importación de fuentes de datos:</w:t>
      </w:r>
      <w:r>
        <w:t xml:space="preserve"> Desde Power BI Desktop, selecciona la opción para cargar datos externos importando los archivos de Microsoft Excel correspondientes (</w:t>
      </w:r>
      <w:r w:rsidRPr="001C7581">
        <w:rPr>
          <w:rStyle w:val="CdigoHTML"/>
          <w:rFonts w:eastAsiaTheme="minorHAnsi"/>
        </w:rPr>
        <w:t>dataset 3 lab</w:t>
      </w:r>
      <w:r>
        <w:t xml:space="preserve">, </w:t>
      </w:r>
      <w:r w:rsidRPr="001C7581">
        <w:rPr>
          <w:rStyle w:val="CdigoHTML"/>
          <w:rFonts w:eastAsiaTheme="minorHAnsi"/>
        </w:rPr>
        <w:t>dataset 2 lab</w:t>
      </w:r>
      <w:r>
        <w:t xml:space="preserve"> o </w:t>
      </w:r>
      <w:r w:rsidRPr="001C7581">
        <w:rPr>
          <w:rStyle w:val="CdigoHTML"/>
          <w:rFonts w:eastAsiaTheme="minorHAnsi"/>
        </w:rPr>
        <w:t>data_ventas_para_limpieza 1</w:t>
      </w:r>
      <w:r>
        <w:t>).</w:t>
      </w:r>
    </w:p>
    <w:p w:rsidR="001C7581" w:rsidRDefault="001C7581">
      <w:r w:rsidRPr="001C7581">
        <w:drawing>
          <wp:inline distT="0" distB="0" distL="0" distR="0" wp14:anchorId="34323856" wp14:editId="05A814A3">
            <wp:extent cx="5612130" cy="2642373"/>
            <wp:effectExtent l="0" t="0" r="7620" b="5715"/>
            <wp:docPr id="7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42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7581" w:rsidRDefault="001C7581" w:rsidP="001C7581">
      <w:pPr>
        <w:pStyle w:val="Prrafodelista"/>
        <w:numPr>
          <w:ilvl w:val="0"/>
          <w:numId w:val="1"/>
        </w:numPr>
      </w:pPr>
      <w:r w:rsidRPr="001C7581">
        <w:rPr>
          <w:b/>
          <w:bCs/>
        </w:rPr>
        <w:t>Transformación y limpieza en Power Query:</w:t>
      </w:r>
      <w:r>
        <w:t xml:space="preserve"> Abre el Editor de Power Query para realizar el tratamiento de los datos. En este paso promueves encabezados, corriges o cambias los tipos de datos (por ejemplo, definir </w:t>
      </w:r>
      <w:r w:rsidRPr="001C7581">
        <w:rPr>
          <w:rStyle w:val="CdigoHTML"/>
          <w:rFonts w:eastAsiaTheme="minorHAnsi"/>
        </w:rPr>
        <w:t>ID_Producto</w:t>
      </w:r>
      <w:r>
        <w:t xml:space="preserve"> como texto) y reemplazas valores inconsistentes mediante la secuencia de </w:t>
      </w:r>
      <w:r w:rsidRPr="001C7581">
        <w:rPr>
          <w:i/>
          <w:iCs/>
        </w:rPr>
        <w:t>Pasos Aplicados</w:t>
      </w:r>
      <w:r>
        <w:t>.</w:t>
      </w:r>
    </w:p>
    <w:p w:rsidR="001C7581" w:rsidRDefault="001C7581">
      <w:r>
        <w:rPr>
          <w:noProof/>
          <w:lang w:eastAsia="es-CO"/>
        </w:rPr>
        <w:drawing>
          <wp:inline distT="0" distB="0" distL="0" distR="0" wp14:anchorId="0AA8E2B1" wp14:editId="0C0D43E5">
            <wp:extent cx="5612130" cy="3061335"/>
            <wp:effectExtent l="0" t="0" r="7620" b="571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061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1C7581" w:rsidRDefault="001C7581"/>
    <w:p w:rsidR="001C7581" w:rsidRDefault="001C7581"/>
    <w:p w:rsidR="001C7581" w:rsidRDefault="001C7581" w:rsidP="001C7581">
      <w:pPr>
        <w:pStyle w:val="Prrafodelista"/>
        <w:numPr>
          <w:ilvl w:val="0"/>
          <w:numId w:val="1"/>
        </w:numPr>
      </w:pPr>
      <w:r w:rsidRPr="001C7581">
        <w:rPr>
          <w:b/>
          <w:bCs/>
        </w:rPr>
        <w:lastRenderedPageBreak/>
        <w:t>Modelado y creación de métricas (DAX):</w:t>
      </w:r>
      <w:r>
        <w:t xml:space="preserve"> Organiza las tablas dentro del modelo (</w:t>
      </w:r>
      <w:r w:rsidRPr="001C7581">
        <w:rPr>
          <w:rStyle w:val="CdigoHTML"/>
          <w:rFonts w:eastAsiaTheme="minorHAnsi"/>
        </w:rPr>
        <w:t>Productos</w:t>
      </w:r>
      <w:r>
        <w:t xml:space="preserve">, </w:t>
      </w:r>
      <w:r w:rsidRPr="001C7581">
        <w:rPr>
          <w:rStyle w:val="CdigoHTML"/>
          <w:rFonts w:eastAsiaTheme="minorHAnsi"/>
        </w:rPr>
        <w:t>Regiones</w:t>
      </w:r>
      <w:r>
        <w:t xml:space="preserve"> y </w:t>
      </w:r>
      <w:r w:rsidRPr="001C7581">
        <w:rPr>
          <w:rStyle w:val="CdigoHTML"/>
          <w:rFonts w:eastAsiaTheme="minorHAnsi"/>
        </w:rPr>
        <w:t>Ventas</w:t>
      </w:r>
      <w:r>
        <w:t xml:space="preserve">) y genera las medidas necesarias para el análisis (como </w:t>
      </w:r>
      <w:r w:rsidRPr="001C7581">
        <w:rPr>
          <w:rStyle w:val="CdigoHTML"/>
          <w:rFonts w:eastAsiaTheme="minorHAnsi"/>
        </w:rPr>
        <w:t>Total Ventas</w:t>
      </w:r>
      <w:r>
        <w:t xml:space="preserve">, </w:t>
      </w:r>
      <w:r w:rsidRPr="001C7581">
        <w:rPr>
          <w:rStyle w:val="CdigoHTML"/>
          <w:rFonts w:eastAsiaTheme="minorHAnsi"/>
        </w:rPr>
        <w:t>Ticket Promedio</w:t>
      </w:r>
      <w:r>
        <w:t xml:space="preserve">, </w:t>
      </w:r>
      <w:r w:rsidRPr="001C7581">
        <w:rPr>
          <w:rStyle w:val="CdigoHTML"/>
          <w:rFonts w:eastAsiaTheme="minorHAnsi"/>
        </w:rPr>
        <w:t>Total Unidades</w:t>
      </w:r>
      <w:r>
        <w:t xml:space="preserve"> y </w:t>
      </w:r>
      <w:r w:rsidRPr="001C7581">
        <w:rPr>
          <w:rStyle w:val="CdigoHTML"/>
          <w:rFonts w:eastAsiaTheme="minorHAnsi"/>
        </w:rPr>
        <w:t>% Ventas del Total</w:t>
      </w:r>
      <w:r>
        <w:t>).</w:t>
      </w:r>
    </w:p>
    <w:p w:rsidR="001C7581" w:rsidRDefault="001C7581" w:rsidP="001C7581">
      <w:pPr>
        <w:jc w:val="center"/>
      </w:pPr>
      <w:r w:rsidRPr="001C7581">
        <w:drawing>
          <wp:inline distT="0" distB="0" distL="0" distR="0" wp14:anchorId="27B7C59C" wp14:editId="5024B0B0">
            <wp:extent cx="2132680" cy="2743200"/>
            <wp:effectExtent l="0" t="0" r="1270" b="0"/>
            <wp:docPr id="4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67419" cy="2787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7581" w:rsidRDefault="001C7581" w:rsidP="001C7581">
      <w:pPr>
        <w:pStyle w:val="Prrafodelista"/>
        <w:numPr>
          <w:ilvl w:val="0"/>
          <w:numId w:val="1"/>
        </w:numPr>
      </w:pPr>
      <w:r w:rsidRPr="001C7581">
        <w:rPr>
          <w:b/>
          <w:bCs/>
        </w:rPr>
        <w:t>Diseño del informe interactivo:</w:t>
      </w:r>
      <w:r>
        <w:t xml:space="preserve"> Construye la interfaz visual agregando tarjetas KPI con los totales generales, un gráfico de barras para analizar ventas por categoría y región, un gráfico circular de distribución por región y un segmentador de datos (</w:t>
      </w:r>
      <w:r w:rsidRPr="001C7581">
        <w:rPr>
          <w:i/>
          <w:iCs/>
        </w:rPr>
        <w:t>Slicer</w:t>
      </w:r>
      <w:r>
        <w:t xml:space="preserve">) por </w:t>
      </w:r>
      <w:r w:rsidRPr="001C7581">
        <w:rPr>
          <w:rStyle w:val="CdigoHTML"/>
          <w:rFonts w:eastAsiaTheme="minorHAnsi"/>
        </w:rPr>
        <w:t>Nombre_Region</w:t>
      </w:r>
      <w:r>
        <w:t xml:space="preserve"> para filtrar el informe dinámicamente.</w:t>
      </w:r>
      <w:r w:rsidRPr="001C7581">
        <w:rPr>
          <w:noProof/>
          <w:lang w:eastAsia="es-CO"/>
        </w:rPr>
        <w:t xml:space="preserve"> </w:t>
      </w:r>
      <w:r>
        <w:rPr>
          <w:noProof/>
          <w:lang w:eastAsia="es-CO"/>
        </w:rPr>
        <w:drawing>
          <wp:inline distT="0" distB="0" distL="0" distR="0" wp14:anchorId="1C3CF8E0" wp14:editId="6A246491">
            <wp:extent cx="5189034" cy="3592139"/>
            <wp:effectExtent l="0" t="0" r="0" b="889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6112" cy="361780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1C7581" w:rsidRDefault="001C7581" w:rsidP="001C7581"/>
    <w:p w:rsidR="001C7581" w:rsidRDefault="00045866" w:rsidP="00045866">
      <w:pPr>
        <w:jc w:val="center"/>
        <w:rPr>
          <w:rFonts w:ascii="Arial" w:hAnsi="Arial" w:cs="Arial"/>
          <w:i/>
          <w:color w:val="000000" w:themeColor="text1"/>
          <w:sz w:val="27"/>
          <w:szCs w:val="27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rial" w:hAnsi="Arial" w:cs="Arial"/>
          <w:i/>
          <w:color w:val="000000" w:themeColor="text1"/>
          <w:sz w:val="27"/>
          <w:szCs w:val="27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D</w:t>
      </w:r>
      <w:r w:rsidRPr="00045866">
        <w:rPr>
          <w:rFonts w:ascii="Arial" w:hAnsi="Arial" w:cs="Arial"/>
          <w:i/>
          <w:color w:val="000000" w:themeColor="text1"/>
          <w:sz w:val="27"/>
          <w:szCs w:val="27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ataset 2</w:t>
      </w:r>
      <w:r w:rsidRPr="00045866">
        <w:rPr>
          <w:rFonts w:ascii="Arial" w:hAnsi="Arial" w:cs="Arial"/>
          <w:i/>
          <w:color w:val="000000" w:themeColor="text1"/>
          <w:sz w:val="27"/>
          <w:szCs w:val="27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lab</w:t>
      </w:r>
      <w:r>
        <w:rPr>
          <w:rFonts w:ascii="Arial" w:hAnsi="Arial" w:cs="Arial"/>
          <w:i/>
          <w:color w:val="000000" w:themeColor="text1"/>
          <w:sz w:val="27"/>
          <w:szCs w:val="27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:rsidR="00045866" w:rsidRPr="00045866" w:rsidRDefault="00045866" w:rsidP="00045866">
      <w:pPr>
        <w:pStyle w:val="Prrafodelista"/>
        <w:numPr>
          <w:ilvl w:val="0"/>
          <w:numId w:val="2"/>
        </w:numPr>
        <w:rPr>
          <w:i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45866">
        <w:rPr>
          <w:b/>
          <w:bCs/>
        </w:rPr>
        <w:t>Conexión e importación de datos:</w:t>
      </w:r>
      <w:r>
        <w:t xml:space="preserve"> Cargar los archivos desde Power BI Desktop seleccionando las fuentes de Excel del directorio de descargas.</w:t>
      </w:r>
    </w:p>
    <w:p w:rsidR="00045866" w:rsidRDefault="00045866" w:rsidP="00045866">
      <w:pPr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45866">
        <w:rPr>
          <w:i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52F93007" wp14:editId="2F6B78A3">
            <wp:extent cx="5255942" cy="2936240"/>
            <wp:effectExtent l="0" t="0" r="1905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5138" cy="2941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45866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</w:p>
    <w:p w:rsidR="00045866" w:rsidRDefault="00045866" w:rsidP="00045866">
      <w:pPr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045866" w:rsidRPr="00045866" w:rsidRDefault="00045866" w:rsidP="00045866">
      <w:pPr>
        <w:pStyle w:val="Prrafodelista"/>
        <w:numPr>
          <w:ilvl w:val="0"/>
          <w:numId w:val="2"/>
        </w:numPr>
        <w:rPr>
          <w:i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45866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Transformación en Power Query:</w:t>
      </w:r>
      <w:r w:rsidRPr="00045866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Procesar y limpiar las consultas (</w:t>
      </w:r>
      <w:r w:rsidRPr="00045866">
        <w:rPr>
          <w:rFonts w:ascii="Courier New" w:eastAsia="Times New Roman" w:hAnsi="Courier New" w:cs="Courier New"/>
          <w:sz w:val="20"/>
          <w:szCs w:val="20"/>
          <w:lang w:eastAsia="es-CO"/>
        </w:rPr>
        <w:t>Clientes</w:t>
      </w:r>
      <w:r w:rsidRPr="00045866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</w:t>
      </w:r>
      <w:r w:rsidRPr="00045866">
        <w:rPr>
          <w:rFonts w:ascii="Courier New" w:eastAsia="Times New Roman" w:hAnsi="Courier New" w:cs="Courier New"/>
          <w:sz w:val="20"/>
          <w:szCs w:val="20"/>
          <w:lang w:eastAsia="es-CO"/>
        </w:rPr>
        <w:t>Tipo_Transaccion</w:t>
      </w:r>
      <w:r w:rsidRPr="00045866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y </w:t>
      </w:r>
      <w:r w:rsidRPr="00045866">
        <w:rPr>
          <w:rFonts w:ascii="Courier New" w:eastAsia="Times New Roman" w:hAnsi="Courier New" w:cs="Courier New"/>
          <w:sz w:val="20"/>
          <w:szCs w:val="20"/>
          <w:lang w:eastAsia="es-CO"/>
        </w:rPr>
        <w:t>Transacciones</w:t>
      </w:r>
      <w:r w:rsidRPr="00045866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). En este paso se promueven los encabezados y se asignan los tipos de datos correctos a columnas claves como </w:t>
      </w:r>
      <w:r w:rsidRPr="00045866">
        <w:rPr>
          <w:rFonts w:ascii="Courier New" w:eastAsia="Times New Roman" w:hAnsi="Courier New" w:cs="Courier New"/>
          <w:sz w:val="20"/>
          <w:szCs w:val="20"/>
          <w:lang w:eastAsia="es-CO"/>
        </w:rPr>
        <w:t>ID_Cliente</w:t>
      </w:r>
      <w:r w:rsidRPr="00045866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</w:t>
      </w:r>
      <w:r w:rsidRPr="00045866">
        <w:rPr>
          <w:rFonts w:ascii="Courier New" w:eastAsia="Times New Roman" w:hAnsi="Courier New" w:cs="Courier New"/>
          <w:sz w:val="20"/>
          <w:szCs w:val="20"/>
          <w:lang w:eastAsia="es-CO"/>
        </w:rPr>
        <w:t>Nombre_Cliente</w:t>
      </w:r>
      <w:r w:rsidRPr="00045866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y </w:t>
      </w:r>
      <w:r w:rsidRPr="00045866">
        <w:rPr>
          <w:rFonts w:ascii="Courier New" w:eastAsia="Times New Roman" w:hAnsi="Courier New" w:cs="Courier New"/>
          <w:sz w:val="20"/>
          <w:szCs w:val="20"/>
          <w:lang w:eastAsia="es-CO"/>
        </w:rPr>
        <w:t>Ciudad</w:t>
      </w:r>
      <w:r w:rsidRPr="00045866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.  </w:t>
      </w:r>
    </w:p>
    <w:p w:rsidR="00045866" w:rsidRDefault="00045866" w:rsidP="00045866">
      <w:pPr>
        <w:ind w:left="360"/>
        <w:rPr>
          <w:i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45866">
        <w:drawing>
          <wp:inline distT="0" distB="0" distL="0" distR="0" wp14:anchorId="11DC1D41" wp14:editId="445B0999">
            <wp:extent cx="5140325" cy="2589519"/>
            <wp:effectExtent l="0" t="0" r="3175" b="1905"/>
            <wp:docPr id="5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68980" cy="2603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5866" w:rsidRDefault="00045866" w:rsidP="00045866">
      <w:pPr>
        <w:ind w:left="360"/>
        <w:rPr>
          <w:i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045866" w:rsidRDefault="00045866" w:rsidP="00045866">
      <w:pPr>
        <w:ind w:left="360"/>
        <w:rPr>
          <w:i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045866" w:rsidRDefault="00045866" w:rsidP="00045866">
      <w:pPr>
        <w:pStyle w:val="Prrafodelista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45866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lastRenderedPageBreak/>
        <w:t>Modelado y cálculo de medidas (DAX):</w:t>
      </w:r>
      <w:r w:rsidRPr="00045866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Definir las relaciones entre las entidades del modelo transaccional y crear las métricas clave: </w:t>
      </w:r>
      <w:r w:rsidRPr="00045866">
        <w:rPr>
          <w:rFonts w:ascii="Courier New" w:eastAsia="Times New Roman" w:hAnsi="Courier New" w:cs="Courier New"/>
          <w:sz w:val="20"/>
          <w:szCs w:val="20"/>
          <w:lang w:eastAsia="es-CO"/>
        </w:rPr>
        <w:t>Total Monto</w:t>
      </w:r>
      <w:r w:rsidRPr="00045866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</w:t>
      </w:r>
      <w:r w:rsidRPr="00045866">
        <w:rPr>
          <w:rFonts w:ascii="Courier New" w:eastAsia="Times New Roman" w:hAnsi="Courier New" w:cs="Courier New"/>
          <w:sz w:val="20"/>
          <w:szCs w:val="20"/>
          <w:lang w:eastAsia="es-CO"/>
        </w:rPr>
        <w:t>Total Depósitos</w:t>
      </w:r>
      <w:r w:rsidRPr="00045866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</w:t>
      </w:r>
      <w:r w:rsidRPr="00045866">
        <w:rPr>
          <w:rFonts w:ascii="Courier New" w:eastAsia="Times New Roman" w:hAnsi="Courier New" w:cs="Courier New"/>
          <w:sz w:val="20"/>
          <w:szCs w:val="20"/>
          <w:lang w:eastAsia="es-CO"/>
        </w:rPr>
        <w:t>Total Retiros</w:t>
      </w:r>
      <w:r w:rsidRPr="00045866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</w:t>
      </w:r>
      <w:r w:rsidRPr="00045866">
        <w:rPr>
          <w:rFonts w:ascii="Courier New" w:eastAsia="Times New Roman" w:hAnsi="Courier New" w:cs="Courier New"/>
          <w:sz w:val="20"/>
          <w:szCs w:val="20"/>
          <w:lang w:eastAsia="es-CO"/>
        </w:rPr>
        <w:t>Total Transacciones</w:t>
      </w:r>
      <w:r w:rsidRPr="00045866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y </w:t>
      </w:r>
      <w:r w:rsidRPr="00045866">
        <w:rPr>
          <w:rFonts w:ascii="Courier New" w:eastAsia="Times New Roman" w:hAnsi="Courier New" w:cs="Courier New"/>
          <w:sz w:val="20"/>
          <w:szCs w:val="20"/>
          <w:lang w:eastAsia="es-CO"/>
        </w:rPr>
        <w:t>Monto Promedio</w:t>
      </w:r>
      <w:r w:rsidRPr="00045866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:rsidR="00045866" w:rsidRDefault="00045866" w:rsidP="00045866">
      <w:pPr>
        <w:pStyle w:val="Prrafodelista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45866">
        <w:rPr>
          <w:rFonts w:ascii="Times New Roman" w:eastAsia="Times New Roman" w:hAnsi="Times New Roman" w:cs="Times New Roman"/>
          <w:sz w:val="24"/>
          <w:szCs w:val="24"/>
          <w:lang w:eastAsia="es-CO"/>
        </w:rPr>
        <w:drawing>
          <wp:inline distT="0" distB="0" distL="0" distR="0" wp14:anchorId="7B152C5E" wp14:editId="1300307B">
            <wp:extent cx="2320506" cy="3045125"/>
            <wp:effectExtent l="0" t="0" r="3810" b="3175"/>
            <wp:docPr id="6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20506" cy="304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5866" w:rsidRPr="00045866" w:rsidRDefault="00045866" w:rsidP="00045866">
      <w:pPr>
        <w:pStyle w:val="Prrafodelista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b/>
          <w:bCs/>
        </w:rPr>
        <w:t>Construcción del Dashboard interactivo:</w:t>
      </w:r>
      <w:r>
        <w:t xml:space="preserve"> Diseñar la vista final organizando tarjetas KPI para el resumen financiero, un gráfico circular de distribución (Depósitos vs. Retiros), un gráfico de barras horizontales por cliente (para visualizar saldos positivos y negativos) y un segmentador de datos (</w:t>
      </w:r>
      <w:r>
        <w:rPr>
          <w:i/>
          <w:iCs/>
        </w:rPr>
        <w:t>Slicer</w:t>
      </w:r>
      <w:r>
        <w:t xml:space="preserve">) por </w:t>
      </w:r>
      <w:r>
        <w:rPr>
          <w:rStyle w:val="CdigoHTML"/>
          <w:rFonts w:eastAsiaTheme="minorHAnsi"/>
        </w:rPr>
        <w:t>Nombre_Cliente</w:t>
      </w:r>
      <w:r>
        <w:t xml:space="preserve"> para interactuar con los datos.</w:t>
      </w:r>
    </w:p>
    <w:p w:rsidR="00045866" w:rsidRPr="00045866" w:rsidRDefault="00045866" w:rsidP="00045866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45866">
        <w:rPr>
          <w:rFonts w:ascii="Times New Roman" w:eastAsia="Times New Roman" w:hAnsi="Times New Roman" w:cs="Times New Roman"/>
          <w:sz w:val="24"/>
          <w:szCs w:val="24"/>
          <w:lang w:eastAsia="es-CO"/>
        </w:rPr>
        <w:drawing>
          <wp:inline distT="0" distB="0" distL="0" distR="0" wp14:anchorId="7B04E95A" wp14:editId="6E30E472">
            <wp:extent cx="5612130" cy="3481070"/>
            <wp:effectExtent l="0" t="0" r="7620" b="5080"/>
            <wp:docPr id="8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5866" w:rsidRPr="00045866" w:rsidRDefault="00045866" w:rsidP="00045866">
      <w:pPr>
        <w:rPr>
          <w:i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045866" w:rsidRDefault="00045866" w:rsidP="00045866">
      <w:pPr>
        <w:jc w:val="center"/>
        <w:rPr>
          <w:rFonts w:ascii="Arial" w:hAnsi="Arial" w:cs="Arial"/>
          <w:i/>
          <w:color w:val="000000" w:themeColor="text1"/>
          <w:sz w:val="27"/>
          <w:szCs w:val="27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rial" w:hAnsi="Arial" w:cs="Arial"/>
          <w:i/>
          <w:color w:val="000000" w:themeColor="text1"/>
          <w:sz w:val="27"/>
          <w:szCs w:val="27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D</w:t>
      </w:r>
      <w:r>
        <w:rPr>
          <w:rFonts w:ascii="Arial" w:hAnsi="Arial" w:cs="Arial"/>
          <w:i/>
          <w:color w:val="000000" w:themeColor="text1"/>
          <w:sz w:val="27"/>
          <w:szCs w:val="27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ataset 3</w:t>
      </w:r>
      <w:r w:rsidRPr="00045866">
        <w:rPr>
          <w:rFonts w:ascii="Arial" w:hAnsi="Arial" w:cs="Arial"/>
          <w:i/>
          <w:color w:val="000000" w:themeColor="text1"/>
          <w:sz w:val="27"/>
          <w:szCs w:val="27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lab</w:t>
      </w:r>
      <w:r>
        <w:rPr>
          <w:rFonts w:ascii="Arial" w:hAnsi="Arial" w:cs="Arial"/>
          <w:i/>
          <w:color w:val="000000" w:themeColor="text1"/>
          <w:sz w:val="27"/>
          <w:szCs w:val="27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:rsidR="006C16F6" w:rsidRPr="006C16F6" w:rsidRDefault="00045866" w:rsidP="006C16F6">
      <w:pPr>
        <w:pStyle w:val="NormalWeb"/>
        <w:numPr>
          <w:ilvl w:val="0"/>
          <w:numId w:val="3"/>
        </w:numPr>
        <w:jc w:val="center"/>
        <w:rPr>
          <w:rFonts w:hAnsi="Symbol"/>
        </w:rPr>
      </w:pPr>
      <w:r>
        <w:rPr>
          <w:b/>
          <w:bCs/>
        </w:rPr>
        <w:t>Conexión e importación de datos:</w:t>
      </w:r>
      <w:r>
        <w:t xml:space="preserve"> Cargar los archivos desde Power BI Desktop seleccionando las fuentes de Excel del directorio de </w:t>
      </w:r>
      <w:r w:rsidR="006C16F6">
        <w:t>descargas.</w:t>
      </w:r>
      <w:r w:rsidR="006C16F6" w:rsidRPr="006C16F6">
        <w:rPr>
          <w:b/>
          <w:bCs/>
        </w:rPr>
        <w:t xml:space="preserve"> Transformación</w:t>
      </w:r>
      <w:r w:rsidRPr="006C16F6">
        <w:rPr>
          <w:b/>
          <w:bCs/>
        </w:rPr>
        <w:t xml:space="preserve"> en Power Query:</w:t>
      </w:r>
      <w:r>
        <w:t xml:space="preserve"> Procesar y limpiar las consultas (</w:t>
      </w:r>
      <w:r w:rsidR="006C16F6">
        <w:rPr>
          <w:rStyle w:val="CdigoHTML"/>
        </w:rPr>
        <w:t>Clientes</w:t>
      </w:r>
      <w:r w:rsidR="006C16F6">
        <w:t xml:space="preserve">,              </w:t>
      </w:r>
      <w:r>
        <w:rPr>
          <w:rStyle w:val="CdigoHTML"/>
        </w:rPr>
        <w:t>Tipo_Transaccion</w:t>
      </w:r>
      <w:r>
        <w:t xml:space="preserve"> y </w:t>
      </w:r>
      <w:r>
        <w:rPr>
          <w:rStyle w:val="CdigoHTML"/>
        </w:rPr>
        <w:t>Transacciones</w:t>
      </w:r>
      <w:r>
        <w:t xml:space="preserve">). En este paso se promueven los encabezados y se </w:t>
      </w:r>
      <w:r w:rsidR="006C16F6">
        <w:t xml:space="preserve">   </w:t>
      </w:r>
      <w:r>
        <w:t xml:space="preserve">asignan los tipos de datos correctos a columnas claves como </w:t>
      </w:r>
      <w:r>
        <w:rPr>
          <w:rStyle w:val="CdigoHTML"/>
        </w:rPr>
        <w:t>ID_</w:t>
      </w:r>
      <w:r w:rsidR="006C16F6">
        <w:rPr>
          <w:rStyle w:val="CdigoHTML"/>
        </w:rPr>
        <w:t>Cliente</w:t>
      </w:r>
      <w:r w:rsidR="006C16F6">
        <w:t>, Nombre</w:t>
      </w:r>
      <w:r>
        <w:rPr>
          <w:rStyle w:val="CdigoHTML"/>
        </w:rPr>
        <w:t>_Cliente</w:t>
      </w:r>
      <w:r>
        <w:t xml:space="preserve"> y </w:t>
      </w:r>
      <w:r>
        <w:rPr>
          <w:rStyle w:val="CdigoHTML"/>
        </w:rPr>
        <w:t>Ciudad</w:t>
      </w:r>
      <w:r>
        <w:t>.</w:t>
      </w:r>
    </w:p>
    <w:p w:rsidR="006C16F6" w:rsidRDefault="006C16F6" w:rsidP="00045866">
      <w:pPr>
        <w:pStyle w:val="NormalWeb"/>
      </w:pPr>
      <w:r w:rsidRPr="006C16F6">
        <w:drawing>
          <wp:inline distT="0" distB="0" distL="0" distR="0" wp14:anchorId="3B234953" wp14:editId="7DAC6F8A">
            <wp:extent cx="5609590" cy="2512742"/>
            <wp:effectExtent l="0" t="0" r="0" b="1905"/>
            <wp:docPr id="9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48804" cy="2530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16F6" w:rsidRDefault="006C16F6" w:rsidP="006C16F6">
      <w:pPr>
        <w:pStyle w:val="NormalWeb"/>
        <w:numPr>
          <w:ilvl w:val="0"/>
          <w:numId w:val="3"/>
        </w:numPr>
      </w:pPr>
      <w:r>
        <w:rPr>
          <w:b/>
          <w:bCs/>
        </w:rPr>
        <w:t>Modelado y cálculo de medidas (DAX):</w:t>
      </w:r>
      <w:r>
        <w:t xml:space="preserve"> Definir las relaciones entre las entidades del modelo transaccional y crear las métricas clave: </w:t>
      </w:r>
      <w:r>
        <w:rPr>
          <w:rStyle w:val="CdigoHTML"/>
        </w:rPr>
        <w:t>Total Monto</w:t>
      </w:r>
      <w:r>
        <w:t xml:space="preserve">, </w:t>
      </w:r>
      <w:r>
        <w:rPr>
          <w:rStyle w:val="CdigoHTML"/>
        </w:rPr>
        <w:t>Total Depósitos</w:t>
      </w:r>
      <w:r>
        <w:t xml:space="preserve">, </w:t>
      </w:r>
      <w:r>
        <w:rPr>
          <w:rStyle w:val="CdigoHTML"/>
        </w:rPr>
        <w:t>Total Retiros</w:t>
      </w:r>
      <w:r>
        <w:t>,</w:t>
      </w:r>
      <w:r w:rsidRPr="006C16F6">
        <w:t xml:space="preserve"> </w:t>
      </w:r>
      <w:r>
        <w:rPr>
          <w:rStyle w:val="CdigoHTML"/>
        </w:rPr>
        <w:t>Total Transacciones</w:t>
      </w:r>
      <w:r>
        <w:t xml:space="preserve"> y </w:t>
      </w:r>
      <w:r>
        <w:rPr>
          <w:rStyle w:val="CdigoHTML"/>
        </w:rPr>
        <w:t>Monto Promedio</w:t>
      </w:r>
      <w:r>
        <w:t>.</w:t>
      </w:r>
    </w:p>
    <w:p w:rsidR="006C16F6" w:rsidRDefault="006C16F6" w:rsidP="006C16F6">
      <w:pPr>
        <w:pStyle w:val="NormalWeb"/>
        <w:ind w:left="720"/>
        <w:jc w:val="center"/>
      </w:pPr>
      <w:r w:rsidRPr="006C16F6">
        <w:drawing>
          <wp:inline distT="0" distB="0" distL="0" distR="0" wp14:anchorId="2C2C56E2" wp14:editId="3C0DD918">
            <wp:extent cx="2170339" cy="2988527"/>
            <wp:effectExtent l="0" t="0" r="1905" b="2540"/>
            <wp:docPr id="10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84947" cy="3008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16F6" w:rsidRPr="006C16F6" w:rsidRDefault="006C16F6" w:rsidP="006C16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C16F6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lastRenderedPageBreak/>
        <w:t>Construcción del Dashboard interactivo:</w:t>
      </w:r>
      <w:r w:rsidRPr="006C16F6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Diseñar la vista final organizando tarjetas KPI para el resumen financiero, un gráfico circular de distribución (Depósitos vs. Retiros), un gráfico de barras horizontales por cliente (para visualizar saldos positivos y negativos) y un segmentador de datos (</w:t>
      </w:r>
      <w:r w:rsidRPr="006C16F6">
        <w:rPr>
          <w:rFonts w:ascii="Times New Roman" w:eastAsia="Times New Roman" w:hAnsi="Times New Roman" w:cs="Times New Roman"/>
          <w:i/>
          <w:iCs/>
          <w:sz w:val="24"/>
          <w:szCs w:val="24"/>
          <w:lang w:eastAsia="es-CO"/>
        </w:rPr>
        <w:t>Slicer</w:t>
      </w:r>
      <w:r w:rsidRPr="006C16F6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) por </w:t>
      </w:r>
      <w:r w:rsidRPr="006C16F6">
        <w:rPr>
          <w:rFonts w:ascii="Courier New" w:eastAsia="Times New Roman" w:hAnsi="Courier New" w:cs="Courier New"/>
          <w:sz w:val="20"/>
          <w:szCs w:val="20"/>
          <w:lang w:eastAsia="es-CO"/>
        </w:rPr>
        <w:t>Nombre_Cliente</w:t>
      </w:r>
      <w:r w:rsidRPr="006C16F6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para interactuar con los datos.</w:t>
      </w:r>
    </w:p>
    <w:p w:rsidR="00045866" w:rsidRPr="006C16F6" w:rsidRDefault="006C16F6" w:rsidP="006C16F6">
      <w:pPr>
        <w:pStyle w:val="Prrafodelista"/>
        <w:rPr>
          <w:rFonts w:ascii="Arial" w:hAnsi="Arial" w:cs="Arial"/>
          <w:color w:val="000000" w:themeColor="text1"/>
          <w:sz w:val="27"/>
          <w:szCs w:val="27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C16F6">
        <w:rPr>
          <w:rFonts w:ascii="Arial" w:hAnsi="Arial" w:cs="Arial"/>
          <w:color w:val="000000" w:themeColor="text1"/>
          <w:sz w:val="27"/>
          <w:szCs w:val="27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2106EC11" wp14:editId="711918F6">
            <wp:extent cx="5612130" cy="3315629"/>
            <wp:effectExtent l="0" t="0" r="7620" b="0"/>
            <wp:docPr id="11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4688" cy="331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5866" w:rsidRPr="00045866" w:rsidRDefault="00045866" w:rsidP="00045866">
      <w:pPr>
        <w:jc w:val="center"/>
        <w:rPr>
          <w:i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0" w:name="_GoBack"/>
      <w:bookmarkEnd w:id="0"/>
    </w:p>
    <w:sectPr w:rsidR="00045866" w:rsidRPr="0004586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C91EE6"/>
    <w:multiLevelType w:val="hybridMultilevel"/>
    <w:tmpl w:val="02C81C2A"/>
    <w:lvl w:ilvl="0" w:tplc="538A673C">
      <w:start w:val="1"/>
      <w:numFmt w:val="decimal"/>
      <w:lvlText w:val="%1)"/>
      <w:lvlJc w:val="left"/>
      <w:pPr>
        <w:ind w:left="720" w:hanging="360"/>
      </w:pPr>
      <w:rPr>
        <w:rFonts w:hint="default"/>
        <w:b/>
        <w:i w:val="0"/>
        <w:color w:val="auto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252A9F"/>
    <w:multiLevelType w:val="multilevel"/>
    <w:tmpl w:val="B3B6F1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6C7CF5"/>
    <w:multiLevelType w:val="hybridMultilevel"/>
    <w:tmpl w:val="EE724520"/>
    <w:lvl w:ilvl="0" w:tplc="C4DCE3A6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A027E31"/>
    <w:multiLevelType w:val="hybridMultilevel"/>
    <w:tmpl w:val="B65C5F1E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7581"/>
    <w:rsid w:val="00045866"/>
    <w:rsid w:val="001C7581"/>
    <w:rsid w:val="006C16F6"/>
    <w:rsid w:val="00882475"/>
    <w:rsid w:val="00C42280"/>
    <w:rsid w:val="00E04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291A7A"/>
  <w15:chartTrackingRefBased/>
  <w15:docId w15:val="{8841FAD2-ABDA-401A-B7E3-818539082A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45866"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CdigoHTML">
    <w:name w:val="HTML Code"/>
    <w:basedOn w:val="Fuentedeprrafopredeter"/>
    <w:uiPriority w:val="99"/>
    <w:semiHidden/>
    <w:unhideWhenUsed/>
    <w:rsid w:val="001C7581"/>
    <w:rPr>
      <w:rFonts w:ascii="Courier New" w:eastAsia="Times New Roman" w:hAnsi="Courier New" w:cs="Courier New"/>
      <w:sz w:val="20"/>
      <w:szCs w:val="20"/>
    </w:rPr>
  </w:style>
  <w:style w:type="paragraph" w:styleId="Prrafodelista">
    <w:name w:val="List Paragraph"/>
    <w:basedOn w:val="Normal"/>
    <w:uiPriority w:val="34"/>
    <w:qFormat/>
    <w:rsid w:val="001C7581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458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186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93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00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47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6</Pages>
  <Words>479</Words>
  <Characters>2635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SENA</dc:creator>
  <cp:keywords/>
  <dc:description/>
  <cp:lastModifiedBy>SENA</cp:lastModifiedBy>
  <cp:revision>1</cp:revision>
  <dcterms:created xsi:type="dcterms:W3CDTF">2026-08-26T13:32:00Z</dcterms:created>
  <dcterms:modified xsi:type="dcterms:W3CDTF">2026-08-26T14:07:00Z</dcterms:modified>
</cp:coreProperties>
</file>