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RF-001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de Acesso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Permitir informar email ou matrícula e 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de Credenciais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as credenciais informadas e liberar o acesso quando forem válidas.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Recuperação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acesso à recuperação de senha.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color w:val="2e74b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Link do figma: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https://www.figma.com/proto/m7lk8MhlQyM5UYXAfUlbm2/VibeEco---Plataforma-de-conscientiza%C3%A7%C3%A3o-a-sustentabilidade?node-id=380-726&amp;t=AiEelfgtJaECwuXL-0&amp;scaling=min-zoom&amp;content-scaling=fixed&amp;page-id=0%3A1&amp;starting-point-node-id=380%3A625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oWixdpvQyibEBSh1He/jFbhgw==">CgMxLjA4AHIhMVpELWJOcnZkdF9KZklCbkludjZkQjlyazZIV3daMUZs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