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Kolle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Dialoga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00"/>
        <w:tblGridChange w:id="0">
          <w:tblGrid>
            <w:gridCol w:w="3270"/>
            <w:gridCol w:w="3315"/>
            <w:gridCol w:w="3300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RNF- 004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Segurança da autenticação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Proteger os dados de autenticação e apresentar mensagens de erro sem expor informações sensíveis.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RNF - 005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Clareza, acessibilidade e identidade visual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Manter interface clara, acessível e alinhada à identidade visual do VibeEco.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h5Z4CI+xdh1t4RgXCX+pLYc4Q==">CgMxLjA4AHIhMWUzeWlSNmNGOThaTEk1ako2am1qWjRuZXdPeFYyajVM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