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3555"/>
        <w:gridCol w:w="3315"/>
        <w:tblGridChange w:id="0">
          <w:tblGrid>
            <w:gridCol w:w="3030"/>
            <w:gridCol w:w="355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Painel administrativo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o painel administrativo com atalhos e indicadores de gestão.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RF-132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aos módulos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acessar usuários, missões, desafios e conteúdos educativos.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que apoiem o acompanhamento das atividades da plataforma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que apoiem o acompanhamento das atividades da plataforma.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sz w:val="18"/>
          <w:szCs w:val="18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https://www.figma.com/proto/m7lk8MhlQyM5UYXAfUlbm2/VibeEco---Plataforma-de-conscientiza%C3%A7%C3%A3o-a-sustentabilidade?node-id=313-1093&amp;p=f&amp;t=AiEelfgtJaECwuXL-0&amp;scaling=min-zoom&amp;content-scaling=fixed&amp;page-id=1%3A2&amp;starting-point-node-id=39%3A31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13-1093&amp;p=f&amp;t=AiEelfgtJaECwuXL-0&amp;scaling=min-zoom&amp;content-scaling=fixed&amp;page-id=1%3A2&amp;starting-point-node-id=39%3A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OMmYAHVoV6JcNp46e93omzcuA==">CgMxLjA4AHIhMU9ROFhSTU5KOHpjTVphaTVTdnV3QmZlUTA5QWkweF91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