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Segurança das credenciais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Apresentar os critérios de senha de forma clara e proteger as credenciais.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Usabilidade e responsividade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Manter o processo simples, acessível e responsivo.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PSpV4ZllYrpFfepRBm7ZeLoPig==">CgMxLjA4AHIhMWZuRUc4bmNxdVpndVFKSFkxSGE0TjFuQ2ZzMFFkSlZB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