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4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10"/>
        <w:gridCol w:w="3315"/>
        <w:gridCol w:w="3315"/>
        <w:tblGridChange w:id="0">
          <w:tblGrid>
            <w:gridCol w:w="351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RNF-040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Acessibilidade dos controles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Apresentar controles claros, acessíveis e responsivos.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RNF-041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Retorno das ações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Informar adequadamente o resultado das ações de publicar e comentar.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Não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+mQfZ0LOradJzNpw59214/Etzg==">CgMxLjA4AHIhMVdpX1pMN3hBYTBSU2U0Q2x1VTdHWE1DV19oYkJncW8z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