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os desafios disponíveis.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dos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informações, progresso e status dos desafios.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desafios por tipo. </w:t>
            </w:r>
          </w:p>
        </w:tc>
      </w:tr>
      <w:tr>
        <w:trPr>
          <w:cantSplit w:val="0"/>
          <w:trHeight w:val="489.96093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Participação em desafio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registrar a participação no desafio.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XHY4n+UNbGuCmmW2fmA21OqJnA==">CgMxLjA4AHIhMWJHd0xGLXpDV19PZ3pIdmFfRHg2dXZjMFI5MWZveHVH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