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RN-072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Educação contínua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a conscientização e a educação contínua.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RN-073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Flexibilidade de conteúdos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flexibilidade na disponibilização de conteúdos.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HVfl7XvnswjmatlHfpAFJgu/WQ==">CgMxLjA4AHIhMXpDZzdVeWMtM2VuQ0EtT0s2cDFnWER2Y0p6OHFWeEE2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