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RNF-077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Legibilidade e acessibilidade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o material com boa legibilidade, acessibilidade e responsividade.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RNF-078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Organização visual consistente com a identidade do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Manter organização visual consistente com a identidade do VibeEco.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ZNKivxgXAGMNSkkiInh8qCmxQg==">CgMxLjA4AHIhMTZCanktU0FWaHhNbGhvcnRHVFhUUFY0RUhUaTQwejJm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