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RNF-120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Legibilidade e acessibilidade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Organizar os registros para facilitar a consulta e manter boa legibilidade.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RNF-121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consulta de forma acessível e responsiva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Apresentar a consulta de forma acessível e responsiva.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Não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NrGheX0WRC48j4UeRTYoC83wfA==">CgMxLjA4AHIhMUMzNENfZmc5LTVNU1FORXFUQUluLVNGM3duS3ExMVJU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