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RN-152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Ações sustentáveis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Apoiar a criação de ações sustentáveis e atividades de engajamento.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RN-153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Gamificação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uso da gamificação e acompanhamento dos resultados.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0OgjXCkX+wPEsWV3yVEbNZvgQ==">CgMxLjA4AHIhMUtLbW4tVnY2WlpMWWIwOGNScnAwMjBpM1d3eU9BVGlm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