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Design Phase</w:t>
      </w:r>
    </w:p>
    <w:p>
      <w:pPr>
        <w:jc w:val="center"/>
      </w:pPr>
      <w:r>
        <w:rPr>
          <w:b/>
          <w:sz w:val="32"/>
        </w:rPr>
        <w:t>Proposed Solution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22nd Feb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LTVIP2026TMIDS48378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AutoSage – AI Vehicle Expert Application (Gemini Flash)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2 Marks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Problem Statement (Problem to be solved)</w:t>
            </w:r>
          </w:p>
        </w:tc>
        <w:tc>
          <w:tcPr>
            <w:tcW w:type="dxa" w:w="2880"/>
          </w:tcPr>
          <w:p>
            <w:r>
              <w:t>Users face confusion while selecting vehicles due to too many options and complex specifications.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Idea / Solution description</w:t>
            </w:r>
          </w:p>
        </w:tc>
        <w:tc>
          <w:tcPr>
            <w:tcW w:type="dxa" w:w="2880"/>
          </w:tcPr>
          <w:p>
            <w:r>
              <w:t>AutoSage uses Gemini Flash AI to recommend vehicles, compare specifications, and provide maintenance guidance.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Novelty / Uniqueness</w:t>
            </w:r>
          </w:p>
        </w:tc>
        <w:tc>
          <w:tcPr>
            <w:tcW w:type="dxa" w:w="2880"/>
          </w:tcPr>
          <w:p>
            <w:r>
              <w:t>Natural language AI assistant specifically focused on automobile guidance.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Social Impact / Customer Satisfaction</w:t>
            </w:r>
          </w:p>
        </w:tc>
        <w:tc>
          <w:tcPr>
            <w:tcW w:type="dxa" w:w="2880"/>
          </w:tcPr>
          <w:p>
            <w:r>
              <w:t>Helps users make informed decisions and promotes eco-friendly vehicle adoption.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Business Model (Revenue Model)</w:t>
            </w:r>
          </w:p>
        </w:tc>
        <w:tc>
          <w:tcPr>
            <w:tcW w:type="dxa" w:w="2880"/>
          </w:tcPr>
          <w:p>
            <w:r>
              <w:t>Freemium model with premium advanced recommendations and dealership partnerships.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Scalability of the Solution</w:t>
            </w:r>
          </w:p>
        </w:tc>
        <w:tc>
          <w:tcPr>
            <w:tcW w:type="dxa" w:w="2880"/>
          </w:tcPr>
          <w:p>
            <w:r>
              <w:t>Can be expanded to mobile apps and integrated with dealership systems.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