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Phase-II</w:t>
      </w:r>
    </w:p>
    <w:p>
      <w:pPr>
        <w:jc w:val="center"/>
      </w:pPr>
      <w:r>
        <w:rPr>
          <w:b/>
          <w:sz w:val="32"/>
        </w:rPr>
        <w:t>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22nd Feb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LTVIP2026TMIDS48378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AutoSage – AI Vehicle Expert Application (Gemini Flash)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Interaction</w:t>
            </w:r>
          </w:p>
        </w:tc>
        <w:tc>
          <w:tcPr>
            <w:tcW w:type="dxa" w:w="2880"/>
          </w:tcPr>
          <w:p>
            <w:r>
              <w:t>User enters vehicle query in search box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AI Recommendation</w:t>
            </w:r>
          </w:p>
        </w:tc>
        <w:tc>
          <w:tcPr>
            <w:tcW w:type="dxa" w:w="2880"/>
          </w:tcPr>
          <w:p>
            <w:r>
              <w:t>System suggests vehicles using Gemini Flash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Vehicle Comparison</w:t>
            </w:r>
          </w:p>
        </w:tc>
        <w:tc>
          <w:tcPr>
            <w:tcW w:type="dxa" w:w="2880"/>
          </w:tcPr>
          <w:p>
            <w:r>
              <w:t>Compare two or more vehicles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Maintenance Guidance</w:t>
            </w:r>
          </w:p>
        </w:tc>
        <w:tc>
          <w:tcPr>
            <w:tcW w:type="dxa" w:w="2880"/>
          </w:tcPr>
          <w:p>
            <w:r>
              <w:t>Provide maintenance tips and reminders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Eco-Friendly Suggestion</w:t>
            </w:r>
          </w:p>
        </w:tc>
        <w:tc>
          <w:tcPr>
            <w:tcW w:type="dxa" w:w="2880"/>
          </w:tcPr>
          <w:p>
            <w:r>
              <w:t>Suggest electric and hybrid vehicles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 and user-friendly interface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API key stored securely using environment variables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Consistent AI responses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 response to user queries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via browser anytime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Can support multiple users simultaneously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