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32"/>
        </w:rPr>
        <w:t>Technology Stack (Architecture &amp;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Table-1: Components &amp; Technologies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User interacts with system</w:t>
            </w:r>
          </w:p>
        </w:tc>
        <w:tc>
          <w:tcPr>
            <w:tcW w:type="dxa" w:w="2160"/>
          </w:tcPr>
          <w:p>
            <w:r>
              <w:t>HTML, CSS, JavaScript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</w:t>
            </w:r>
          </w:p>
        </w:tc>
        <w:tc>
          <w:tcPr>
            <w:tcW w:type="dxa" w:w="2160"/>
          </w:tcPr>
          <w:p>
            <w:r>
              <w:t>Backend processing</w:t>
            </w:r>
          </w:p>
        </w:tc>
        <w:tc>
          <w:tcPr>
            <w:tcW w:type="dxa" w:w="2160"/>
          </w:tcPr>
          <w:p>
            <w:r>
              <w:t>Python Flask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Processing</w:t>
            </w:r>
          </w:p>
        </w:tc>
        <w:tc>
          <w:tcPr>
            <w:tcW w:type="dxa" w:w="2160"/>
          </w:tcPr>
          <w:p>
            <w:r>
              <w:t>Natural language understanding</w:t>
            </w:r>
          </w:p>
        </w:tc>
        <w:tc>
          <w:tcPr>
            <w:tcW w:type="dxa" w:w="2160"/>
          </w:tcPr>
          <w:p>
            <w:r>
              <w:t>Google Gemini Flash API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Stores user queries and history</w:t>
            </w:r>
          </w:p>
        </w:tc>
        <w:tc>
          <w:tcPr>
            <w:tcW w:type="dxa" w:w="2160"/>
          </w:tcPr>
          <w:p>
            <w:r>
              <w:t>SQLite / Firebase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Stores logs and temporary data</w:t>
            </w:r>
          </w:p>
        </w:tc>
        <w:tc>
          <w:tcPr>
            <w:tcW w:type="dxa" w:w="2160"/>
          </w:tcPr>
          <w:p>
            <w:r>
              <w:t>Local File System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External API</w:t>
            </w:r>
          </w:p>
        </w:tc>
        <w:tc>
          <w:tcPr>
            <w:tcW w:type="dxa" w:w="2160"/>
          </w:tcPr>
          <w:p>
            <w:r>
              <w:t>Vehicle information &amp; AI response</w:t>
            </w:r>
          </w:p>
        </w:tc>
        <w:tc>
          <w:tcPr>
            <w:tcW w:type="dxa" w:w="2160"/>
          </w:tcPr>
          <w:p>
            <w:r>
              <w:t>Gemini API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Machine Learning Model</w:t>
            </w:r>
          </w:p>
        </w:tc>
        <w:tc>
          <w:tcPr>
            <w:tcW w:type="dxa" w:w="2160"/>
          </w:tcPr>
          <w:p>
            <w:r>
              <w:t>Recommendation generation</w:t>
            </w:r>
          </w:p>
        </w:tc>
        <w:tc>
          <w:tcPr>
            <w:tcW w:type="dxa" w:w="2160"/>
          </w:tcPr>
          <w:p>
            <w:r>
              <w:t>Gemini AI Model</w:t>
            </w:r>
          </w:p>
        </w:tc>
      </w:tr>
    </w:tbl>
    <w:p>
      <w:pPr>
        <w:pStyle w:val="Heading1"/>
      </w:pPr>
      <w:r>
        <w:t>Table-2: Application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 Source Frameworks</w:t>
            </w:r>
          </w:p>
        </w:tc>
        <w:tc>
          <w:tcPr>
            <w:tcW w:type="dxa" w:w="2160"/>
          </w:tcPr>
          <w:p>
            <w:r>
              <w:t>Frameworks used</w:t>
            </w:r>
          </w:p>
        </w:tc>
        <w:tc>
          <w:tcPr>
            <w:tcW w:type="dxa" w:w="2160"/>
          </w:tcPr>
          <w:p>
            <w:r>
              <w:t>Flask, Bootstrap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API key protection</w:t>
            </w:r>
          </w:p>
        </w:tc>
        <w:tc>
          <w:tcPr>
            <w:tcW w:type="dxa" w:w="2160"/>
          </w:tcPr>
          <w:p>
            <w:r>
              <w:t>Environment variables (.env)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Modular architecture</w:t>
            </w:r>
          </w:p>
        </w:tc>
        <w:tc>
          <w:tcPr>
            <w:tcW w:type="dxa" w:w="2160"/>
          </w:tcPr>
          <w:p>
            <w:r>
              <w:t>3-Tier architecture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Accessible via web browser</w:t>
            </w:r>
          </w:p>
        </w:tc>
        <w:tc>
          <w:tcPr>
            <w:tcW w:type="dxa" w:w="2160"/>
          </w:tcPr>
          <w:p>
            <w:r>
              <w:t>Localhost / Web hosting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Fast response AI</w:t>
            </w:r>
          </w:p>
        </w:tc>
        <w:tc>
          <w:tcPr>
            <w:tcW w:type="dxa" w:w="2160"/>
          </w:tcPr>
          <w:p>
            <w:r>
              <w:t>Optimized API calls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