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Acceptance Testing</w:t>
      </w:r>
    </w:p>
    <w:p>
      <w:pPr>
        <w:jc w:val="center"/>
      </w:pPr>
      <w:r>
        <w:rPr>
          <w:b/>
          <w:sz w:val="32"/>
        </w:rPr>
        <w:t>UAT Execution &amp; Report Submission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22nd Feb 2026</w:t>
            </w:r>
          </w:p>
        </w:tc>
      </w:tr>
      <w:tr>
        <w:tc>
          <w:tcPr>
            <w:tcW w:type="dxa" w:w="4320"/>
          </w:tcPr>
          <w:p>
            <w:r>
              <w:t>Team ID</w:t>
            </w:r>
          </w:p>
        </w:tc>
        <w:tc>
          <w:tcPr>
            <w:tcW w:type="dxa" w:w="4320"/>
          </w:tcPr>
          <w:p>
            <w:r>
              <w:t>LTVIP2026TMIDS48378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AutoSage – AI Vehicle Expert Application (Gemini Flash)</w:t>
            </w:r>
          </w:p>
        </w:tc>
      </w:tr>
      <w:tr>
        <w:tc>
          <w:tcPr>
            <w:tcW w:type="dxa" w:w="4320"/>
          </w:tcPr>
          <w:p>
            <w:r>
              <w:t>Maximum Marks</w:t>
            </w:r>
          </w:p>
        </w:tc>
        <w:tc>
          <w:tcPr>
            <w:tcW w:type="dxa" w:w="4320"/>
          </w:tcPr>
          <w:p>
            <w:r>
              <w:t>4 Marks</w:t>
            </w:r>
          </w:p>
        </w:tc>
      </w:tr>
    </w:tbl>
    <w:p/>
    <w:p>
      <w:pPr>
        <w:pStyle w:val="Heading1"/>
      </w:pPr>
      <w:r>
        <w:t>1. Purpose of Document</w:t>
      </w:r>
    </w:p>
    <w:p>
      <w:r>
        <w:t>This document explains the testing coverage and open issues of the AutoSage application during User Acceptance Testing (UAT).</w:t>
      </w:r>
    </w:p>
    <w:p>
      <w:pPr>
        <w:pStyle w:val="Heading1"/>
      </w:pPr>
      <w:r>
        <w:t>2. Defect Analysis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Resolution</w:t>
            </w:r>
          </w:p>
        </w:tc>
        <w:tc>
          <w:tcPr>
            <w:tcW w:type="dxa" w:w="1728"/>
          </w:tcPr>
          <w:p>
            <w:r>
              <w:t>Severity 1</w:t>
            </w:r>
          </w:p>
        </w:tc>
        <w:tc>
          <w:tcPr>
            <w:tcW w:type="dxa" w:w="1728"/>
          </w:tcPr>
          <w:p>
            <w:r>
              <w:t>Severity 2</w:t>
            </w:r>
          </w:p>
        </w:tc>
        <w:tc>
          <w:tcPr>
            <w:tcW w:type="dxa" w:w="1728"/>
          </w:tcPr>
          <w:p>
            <w:r>
              <w:t>Severity 3</w:t>
            </w:r>
          </w:p>
        </w:tc>
        <w:tc>
          <w:tcPr>
            <w:tcW w:type="dxa" w:w="1728"/>
          </w:tcPr>
          <w:p>
            <w:r>
              <w:t>Severity 4</w:t>
            </w:r>
          </w:p>
        </w:tc>
      </w:tr>
      <w:tr>
        <w:tc>
          <w:tcPr>
            <w:tcW w:type="dxa" w:w="1728"/>
          </w:tcPr>
          <w:p>
            <w:r>
              <w:t>Fixed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Not Reproduced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>
      <w:pPr>
        <w:pStyle w:val="Heading1"/>
      </w:pPr>
      <w:r>
        <w:t>3. Test Case Analysis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Section</w:t>
            </w:r>
          </w:p>
        </w:tc>
        <w:tc>
          <w:tcPr>
            <w:tcW w:type="dxa" w:w="2160"/>
          </w:tcPr>
          <w:p>
            <w:r>
              <w:t>Total Cases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Vehicle Query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AI Recommendation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Comparison Feature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Maintenance Tips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