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Royal Square Financial (Pty) Ltd</w:t>
      </w:r>
    </w:p>
    <w:p>
      <w:pPr>
        <w:spacing w:after="400"/>
        <w:jc w:val="center"/>
      </w:pPr>
      <w:r>
        <w:rPr>
          <w:color w:val="595959"/>
          <w:sz w:val="26"/>
          <w:szCs w:val="26"/>
        </w:rPr>
        <w:t xml:space="preserve">System Requirements: Client &amp; Compliance Automation Platform</w:t>
      </w:r>
    </w:p>
    <w:p>
      <w:pPr>
        <w:pStyle w:val="Heading1"/>
        <w:pBdr>
          <w:bottom w:val="single" w:color="BFBFBF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II. Business Description &amp; Problem Statement</w:t>
      </w:r>
    </w:p>
    <w:p>
      <w:pPr>
        <w:spacing w:after="160"/>
      </w:pPr>
      <w:r>
        <w:t xml:space="preserve">Royal Square Financial (Pty) Ltd is an independent full-service Brokerage and Financial Services Provider focused on wealth creation and wealth preservation through financial planning. The firm offers a range of insurance and investment solutions to the public, including Life Insurance, Health Insurance, Funeral Insurance, Personal Insurance, Commercial Insurance, and goal-based Investments.</w:t>
      </w:r>
    </w:p>
    <w:p>
      <w:pPr>
        <w:spacing w:after="160"/>
      </w:pPr>
      <w:r>
        <w:t xml:space="preserve">We're a broker. We sell investment and insurance products from South Africa's biggest providers — Sanlam, Old Mutual, Liberty, Momentum, Discovery, Allan Gray, Santam, and around a dozen others — but the advice we give clients is our own. We're not tied to any of them.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The Problem</w:t>
      </w:r>
    </w:p>
    <w:p>
      <w:pPr>
        <w:spacing w:after="160"/>
      </w:pPr>
      <w:r>
        <w:t xml:space="preserve">The problem is paperwork. Regulation means every adviser needs formal qualifications, and every client interaction generates compliance admin: identity checks, record-keeping, data protection. That load grows every year. We now spend more time on forms than with the people we're meant to be advising, and software is the only way out.</w:t>
      </w:r>
    </w:p>
    <w:p>
      <w:pPr>
        <w:pStyle w:val="Heading1"/>
        <w:pBdr>
          <w:bottom w:val="single" w:color="BFBFBF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What We Need You to Build</w:t>
      </w:r>
    </w:p>
    <w:p>
      <w:pPr>
        <w:spacing w:after="160"/>
      </w:pPr>
      <w:r>
        <w:t xml:space="preserve">A system that makes communication between Royal Square Financial and our clients faster and less manual. Three core pieces: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1. Client Dashboard</w:t>
      </w:r>
    </w:p>
    <w:p>
      <w:pPr>
        <w:spacing w:after="160"/>
      </w:pPr>
      <w:r>
        <w:t xml:space="preserve">A real-time view of each client's financial position and net worth, in one place.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2. Automated Reminders</w:t>
      </w:r>
    </w:p>
    <w:p>
      <w:pPr>
        <w:spacing w:after="160"/>
      </w:pPr>
      <w:r>
        <w:t xml:space="preserve">For tasks, documents, renewals and reviews — sent to us, to the client, or to both. Examples: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700"/>
      </w:tblGrid>
      <w:tr>
        <w:tc>
          <w:tcPr>
            <w:tcW w:type="dxa" w:w="63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Reminder / Task</w:t>
            </w:r>
          </w:p>
        </w:tc>
        <w:tc>
          <w:tcPr>
            <w:tcW w:type="dxa" w:w="27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Sent To</w:t>
            </w:r>
          </w:p>
        </w:tc>
      </w:tr>
      <w:tr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Insurance valuation certificate, every 2 years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 and the client</w:t>
            </w:r>
          </w:p>
        </w:tc>
      </w:tr>
      <w:tr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Driving licence expiry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Client</w:t>
            </w:r>
          </w:p>
        </w:tc>
      </w:tr>
      <w:tr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Annual financial review meeting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</w:t>
            </w:r>
          </w:p>
        </w:tc>
      </w:tr>
      <w:tr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Retirement fee renewal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</w:t>
            </w:r>
          </w:p>
        </w:tc>
      </w:tr>
      <w:tr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Birthdays and anniversaries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Us, automated</w:t>
            </w:r>
          </w:p>
        </w:tc>
      </w:tr>
    </w:tbl>
    <w:p>
      <w:pPr>
        <w:spacing w:after="160" w:before="160"/>
      </w:pPr>
      <w:r>
        <w:rPr>
          <w:i/>
          <w:iCs/>
        </w:rPr>
        <w:t xml:space="preserve">There are many more. Assume the list keeps growing.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 Goal Tracking</w:t>
      </w:r>
    </w:p>
    <w:p>
      <w:pPr>
        <w:spacing w:after="160"/>
      </w:pPr>
      <w:r>
        <w:t xml:space="preserve">Advisers should be able to load goals for a client — individual or shared — and the dashboard should show visually how far along each one is.</w:t>
      </w:r>
    </w:p>
    <w:p>
      <w:r>
        <w:br w:type="page"/>
      </w:r>
    </w:p>
    <w:p>
      <w:pPr>
        <w:pStyle w:val="Heading1"/>
        <w:pBdr>
          <w:bottom w:val="single" w:color="BFBFBF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Example: A Full Single Task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Short-Term Insurance — Reporting an Accident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At the Scene</w:t>
      </w:r>
    </w:p>
    <w:p>
      <w:pPr>
        <w:spacing w:after="160"/>
      </w:pPr>
      <w:r>
        <w:t xml:space="preserve">The client taps “Report an Accident or Loss.” The app immediately sends back a checklist of what to gather at the scene: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Photos of the road surface and direction of travel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address or nearest cross streets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Photos of all vehicles and people involved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Licence plates and registration discs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 documents of everyone involved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Witness names and contact details, plus a voice note if possible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Insurance details of the other parties</w:t>
      </w:r>
    </w:p>
    <w:p>
      <w:pPr>
        <w:spacing w:after="160"/>
      </w:pPr>
      <w:r>
        <w:t xml:space="preserve">A reminder to report to the police within 48 hours. Getting this right at the scene is what makes the claim go smoothly later.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Registering the Claim</w:t>
      </w:r>
    </w:p>
    <w:p>
      <w:pPr>
        <w:spacing w:after="160"/>
      </w:pPr>
      <w:r>
        <w:t xml:space="preserve">The client taps “Register a Motor Claim” and selects their insurer — Santam, for example, though we work with many.</w:t>
      </w:r>
    </w:p>
    <w:p>
      <w:pPr>
        <w:spacing w:after="160"/>
      </w:pPr>
      <w:r>
        <w:t xml:space="preserve">The app collects: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Date, time and description of the incident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Whether police were notified, and the case number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Witness details and whether a statement was taken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was driving, and whether the vehicle was in personal or business use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Details of other vehicles or property involved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Third-party details: licence, vehicle registration, insurer and policy number</w:t>
      </w:r>
    </w:p>
    <w:p>
      <w:pPr>
        <w:spacing w:after="160"/>
      </w:pPr>
      <w:r>
        <w:t xml:space="preserve">And uploads to the cloud: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Photos of all vehicles, damage, road surface, registration discs and licences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Driver's licence and a sketch of the accident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What Happens After Submission</w:t>
      </w:r>
    </w:p>
    <w:p>
      <w:pPr>
        <w:spacing w:after="160"/>
      </w:pPr>
      <w:r>
        <w:t xml:space="preserve">This part runs over days and weeks, and the app's job is to track it and keep everyone informed: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Insurer returns a claim number and a claims handler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 takes the vehicle for assessment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Assessment goes to the insurer and to 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Repair quotes go to the insurer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Insurer authorises repairs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 picks a date for the vehicle to go 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arrange car hire and delivery to the repairer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Weekly repair updates pushed to 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arrange collection and return of the hire car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 writes a short review and closes the transaction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Other Tasks the App Should Handle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Change of address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Change of bank details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Request a policy document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Request a border letter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Request an IRP5 from an investment company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Request a consultation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 information collection, balance sheet and income statement</w:t>
      </w:r>
    </w:p>
    <w:p>
      <w:pPr>
        <w:pBdr>
          <w:top w:val="single" w:color="1F3864" w:sz="6" w:space="8"/>
          <w:bottom w:val="single" w:color="1F3864" w:sz="6" w:space="8"/>
          <w:left w:val="single" w:color="1F3864" w:sz="6" w:space="8"/>
          <w:right w:val="single" w:color="1F3864" w:sz="6" w:space="8"/>
        </w:pBdr>
        <w:shd w:fill="F2F2F2" w:color="auto" w:val="clear"/>
        <w:spacing w:before="300"/>
      </w:pPr>
      <w:r>
        <w:rPr>
          <w:b/>
          <w:bCs/>
        </w:rPr>
        <w:t xml:space="preserve">Guiding Principle:  </w:t>
      </w:r>
      <w:r>
        <w:t xml:space="preserve">The more that passes straight through to the product provider automatically — API, direct integration, file transfer — the more useful the app becomes.</w:t>
      </w:r>
    </w:p>
    <w:sectPr>
      <w:footerReference w:type="default" r:id="rId7"/>
      <w:pgSz w:w="11908" w:h="16833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before="120"/>
      <w:jc w:val="center"/>
    </w:pPr>
    <w:r>
      <w:rPr>
        <w:color w:val="595959"/>
        <w:sz w:val="16"/>
        <w:szCs w:val="16"/>
      </w:rPr>
      <w:t xml:space="preserve">Royal Square Financial (Pty) Ltd  •  FSP Number: 29370  •  Director: Qiniso Ntuli</w:t>
    </w:r>
  </w:p>
  <w:p>
    <w:pPr>
      <w:jc w:val="center"/>
    </w:pPr>
    <w:r>
      <w:rPr>
        <w:color w:val="595959"/>
        <w:sz w:val="16"/>
        <w:szCs w:val="16"/>
      </w:rPr>
      <w:t xml:space="preserve">Reg. No. 2009/022911/07  |  4 Pritchard Street, Johannesburg – 2001  |  Office: 011 492 1566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2026-09-05T08:59:11.525Z</dcterms:created>
  <dcterms:modified xsi:type="dcterms:W3CDTF">2026-09-05T08:59:11.526Z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