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47AF" w14:textId="77777777" w:rsidR="0080007E" w:rsidRPr="00BC510C" w:rsidRDefault="0080007E">
      <w:pPr>
        <w:spacing w:before="2400"/>
      </w:pPr>
    </w:p>
    <w:p w14:paraId="6FC1AEC2" w14:textId="77777777" w:rsidR="0080007E" w:rsidRPr="00BC510C" w:rsidRDefault="00000000">
      <w:pPr>
        <w:jc w:val="center"/>
      </w:pPr>
      <w:r>
        <w:rPr>
          <w:b/>
          <w:bCs/>
          <w:color w:val="1F3864"/>
          <w:sz w:val="44"/>
          <w:szCs w:val="44"/>
        </w:rPr>
        <w:t>ขอบเขตของการศึกษาความเป็นไปได้ของโครงการ</w:t>
      </w:r>
    </w:p>
    <w:p w14:paraId="745A2C6E" w14:textId="77777777" w:rsidR="0080007E" w:rsidRPr="00BC510C" w:rsidRDefault="00000000"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>(Terms of Reference: Project Feasibility Study)</w:t>
      </w:r>
    </w:p>
    <w:p w14:paraId="42675DCA" w14:textId="77777777" w:rsidR="0080007E" w:rsidRPr="00BC510C" w:rsidRDefault="00000000">
      <w:pPr>
        <w:jc w:val="center"/>
      </w:pPr>
      <w:r>
        <w:rPr>
          <w:color w:val="404040"/>
          <w:sz w:val="32"/>
          <w:szCs w:val="32"/>
        </w:rPr>
        <w:t>โครงการลงทุนธุรกิจพลังงาน 4 ประเภท</w:t>
      </w:r>
    </w:p>
    <w:p w14:paraId="1285E288" w14:textId="77777777" w:rsidR="0080007E" w:rsidRPr="00BC510C" w:rsidRDefault="00000000">
      <w:pPr>
        <w:jc w:val="center"/>
      </w:pPr>
      <w:r>
        <w:rPr>
          <w:color w:val="404040"/>
          <w:sz w:val="32"/>
          <w:szCs w:val="32"/>
        </w:rPr>
        <w:t>โรงไฟฟ้าชีวมวล • โรงไฟฟ้าพลังงานขยะ</w:t>
      </w:r>
    </w:p>
    <w:p w14:paraId="35502E35" w14:textId="77777777" w:rsidR="0080007E" w:rsidRPr="00BC510C" w:rsidRDefault="00000000">
      <w:pPr>
        <w:jc w:val="center"/>
      </w:pPr>
      <w:r>
        <w:rPr>
          <w:color w:val="404040"/>
          <w:sz w:val="32"/>
          <w:szCs w:val="32"/>
        </w:rPr>
        <w:t>ผู้ลงทุนสัญญาซื้อขายไฟฟ้าภาคเอกชนพลังงานแสงอาทิตย์ (Private PPA Solar)</w:t>
      </w:r>
    </w:p>
    <w:p w14:paraId="600986F0" w14:textId="77777777" w:rsidR="0080007E" w:rsidRPr="00BC510C" w:rsidRDefault="00000000">
      <w:pPr>
        <w:jc w:val="center"/>
      </w:pPr>
      <w:r>
        <w:rPr>
          <w:color w:val="404040"/>
          <w:sz w:val="32"/>
          <w:szCs w:val="32"/>
        </w:rPr>
        <w:t>ธุรกิจสถานีอัดประจุยานยนต์ไฟฟ้า (EV Charging Station)</w:t>
      </w:r>
    </w:p>
    <w:p w14:paraId="688A7D4D" w14:textId="77777777" w:rsidR="0080007E" w:rsidRPr="00BC510C" w:rsidRDefault="0080007E">
      <w:pPr>
        <w:jc w:val="center"/>
      </w:pPr>
    </w:p>
    <w:p w14:paraId="23F5E431" w14:textId="77777777" w:rsidR="0080007E" w:rsidRPr="00BC510C" w:rsidRDefault="00000000">
      <w:pPr>
        <w:jc w:val="center"/>
      </w:pPr>
      <w:r>
        <w:rPr>
          <w:color w:val="404040"/>
          <w:sz w:val="32"/>
          <w:szCs w:val="32"/>
        </w:rPr>
        <w:t>เอกสารฉบับที่ 1: รายงานขอบเขตของการศึกษา (ฉบับภาษาไทย)</w:t>
      </w:r>
    </w:p>
    <w:p w14:paraId="2B3FF0E3" w14:textId="77777777" w:rsidR="0080007E" w:rsidRPr="00BC510C" w:rsidRDefault="0080007E">
      <w:pPr>
        <w:spacing w:before="2000"/>
      </w:pPr>
    </w:p>
    <w:p w14:paraId="4F08FA13" w14:textId="77777777" w:rsidR="0080007E" w:rsidRPr="00BC510C" w:rsidRDefault="00000000">
      <w:pPr>
        <w:jc w:val="center"/>
      </w:pPr>
      <w:r>
        <w:rPr>
          <w:color w:val="595959"/>
          <w:sz w:val="28"/>
          <w:szCs w:val="28"/>
        </w:rPr>
        <w:t>สิงหาคม พ.ศ. 2569</w:t>
      </w:r>
    </w:p>
    <w:p w14:paraId="266E7AED" w14:textId="77777777" w:rsidR="0080007E" w:rsidRPr="00BC510C" w:rsidRDefault="00000000">
      <w:r>
        <w:br w:type="page"/>
      </w:r>
    </w:p>
    <w:p w14:paraId="776EAFA2" w14:textId="77777777" w:rsidR="0080007E" w:rsidRPr="00BC510C" w:rsidRDefault="00000000">
      <w:pPr>
        <w:pStyle w:val="Heading1"/>
        <w:rPr>
          <w:noProof/>
        </w:rPr>
      </w:pPr>
      <w:bookmarkStart w:id="0" w:name="_Toc237932394"/>
      <w:r>
        <w:rPr>
          <w:noProof/>
        </w:rPr>
        <w:lastRenderedPageBreak/>
        <w:t>สารบัญ</w:t>
      </w:r>
      <w:bookmarkEnd w:id="0"/>
    </w:p>
    <w:sdt>
      <w:sdtPr>
        <w:alias w:val="TOC"/>
        <w:id w:val="-401219348"/>
      </w:sdtPr>
      <w:sdtEndPr>
        <w:rPr>
          <w:rFonts w:cs="TH Sarabun New"/>
          <w:szCs w:val="30"/>
        </w:rPr>
      </w:sdtEndPr>
      <w:sdtContent>
        <w:p w14:paraId="6C54DC60" w14:textId="77777777" w:rsidR="00BC510C" w:rsidRPr="00BC510C" w:rsidRDefault="00000000">
          <w:pPr>
            <w:pStyle w:val="TOC1"/>
            <w:tabs>
              <w:tab w:val="right" w:leader="dot" w:pos="8756"/>
            </w:tabs>
          </w:pPr>
          <w:r>
            <w:fldChar w:fldCharType="begin"/>
            <w:instrText>TOC \h \o "1-2"</w:instrText>
            <w:fldChar w:fldCharType="separate"/>
          </w:r>
          <w:hyperlink w:anchor="_Toc237932394" w:history="1">
            <w:r>
              <w:rPr>
                <w:rStyle w:val="Hyperlink"/>
              </w:rPr>
              <w:t>สารบัญ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_Toc237932394 \h </w:instrText>
            </w:r>
            <w:r>
              <w:rPr>
                <w:rStyle w:val="Hyperlink"/>
              </w:rPr>
              <w:fldChar w:fldCharType="separate"/>
            </w:r>
            <w:r>
              <w:t>2</w:t>
            </w:r>
            <w:r>
              <w:rPr>
                <w:rStyle w:val="Hyperlink"/>
              </w:rPr>
              <w:fldChar w:fldCharType="end"/>
            </w:r>
          </w:hyperlink>
        </w:p>
        <w:p w14:paraId="0E9738E7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395" w:history="1">
            <w:r>
              <w:rPr>
                <w:rStyle w:val="Hyperlink"/>
              </w:rPr>
              <w:t>1. หลักการและเหตุผล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_Toc237932395 \h </w:instrText>
            </w:r>
            <w:r>
              <w:rPr>
                <w:rStyle w:val="Hyperlink"/>
              </w:rPr>
              <w:fldChar w:fldCharType="separate"/>
            </w:r>
            <w:r>
              <w:t>4</w:t>
            </w:r>
            <w:r>
              <w:rPr>
                <w:rStyle w:val="Hyperlink"/>
              </w:rPr>
              <w:fldChar w:fldCharType="end"/>
            </w:r>
          </w:hyperlink>
        </w:p>
        <w:p w14:paraId="5A6EAA4B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396" w:history="1">
            <w:r>
              <w:rPr>
                <w:rStyle w:val="Hyperlink"/>
              </w:rPr>
              <w:t>2. วัตถุประสงค์ของการศึกษา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_Toc237932396 \h </w:instrText>
            </w:r>
            <w:r>
              <w:rPr>
                <w:rStyle w:val="Hyperlink"/>
              </w:rPr>
              <w:fldChar w:fldCharType="separate"/>
            </w:r>
            <w:r>
              <w:t>4</w:t>
            </w:r>
            <w:r>
              <w:rPr>
                <w:rStyle w:val="Hyperlink"/>
              </w:rPr>
              <w:fldChar w:fldCharType="end"/>
            </w:r>
          </w:hyperlink>
        </w:p>
        <w:p w14:paraId="6287D7CF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397" w:history="1">
            <w:r>
              <w:rPr>
                <w:rStyle w:val="Hyperlink"/>
              </w:rPr>
              <w:t>3. นิยามและขอบเขตของโครงการที่ศึกษา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_Toc237932397 \h </w:instrText>
            </w:r>
            <w:r>
              <w:rPr>
                <w:rStyle w:val="Hyperlink"/>
              </w:rPr>
              <w:fldChar w:fldCharType="separate"/>
            </w:r>
            <w:r>
              <w:t>5</w:t>
            </w:r>
            <w:r>
              <w:rPr>
                <w:rStyle w:val="Hyperlink"/>
              </w:rPr>
              <w:fldChar w:fldCharType="end"/>
            </w:r>
          </w:hyperlink>
        </w:p>
        <w:p w14:paraId="106F14DE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398" w:history="1">
            <w:r>
              <w:rPr>
                <w:rStyle w:val="Hyperlink"/>
              </w:rPr>
              <w:t>4. ขอบเขตการศึกษารายมิติ (ใช้ร่วมกันทุกโครงการ)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_Toc237932398 \h </w:instrText>
            </w:r>
            <w:r>
              <w:rPr>
                <w:rStyle w:val="Hyperlink"/>
              </w:rPr>
              <w:fldChar w:fldCharType="separate"/>
            </w:r>
            <w:r>
              <w:t>6</w:t>
            </w:r>
            <w:r>
              <w:rPr>
                <w:rStyle w:val="Hyperlink"/>
              </w:rPr>
              <w:fldChar w:fldCharType="end"/>
            </w:r>
          </w:hyperlink>
        </w:p>
        <w:p w14:paraId="10803502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399" w:history="1">
            <w:r>
              <w:rPr>
                <w:rStyle w:val="Hyperlink"/>
              </w:rPr>
              <w:t>4.1 มิติด้านตลาด (Market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_Toc237932399 \h </w:instrText>
            </w:r>
            <w:r>
              <w:rPr>
                <w:rStyle w:val="Hyperlink"/>
              </w:rPr>
              <w:fldChar w:fldCharType="separate"/>
            </w:r>
            <w:r>
              <w:t>6</w:t>
            </w:r>
            <w:r>
              <w:rPr>
                <w:rStyle w:val="Hyperlink"/>
              </w:rPr>
              <w:fldChar w:fldCharType="end"/>
            </w:r>
          </w:hyperlink>
        </w:p>
        <w:p w14:paraId="217E5596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0" w:history="1">
            <w:r>
              <w:rPr>
                <w:rStyle w:val="Hyperlink"/>
              </w:rPr>
              <w:t>4.2 มิติด้านเทคนิคและวิศวกรรม (Technical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_Toc237932400 \h </w:instrText>
            </w:r>
            <w:r>
              <w:rPr>
                <w:rStyle w:val="Hyperlink"/>
              </w:rPr>
              <w:fldChar w:fldCharType="separate"/>
            </w:r>
            <w:r>
              <w:t>6</w:t>
            </w:r>
            <w:r>
              <w:rPr>
                <w:rStyle w:val="Hyperlink"/>
              </w:rPr>
              <w:fldChar w:fldCharType="end"/>
            </w:r>
          </w:hyperlink>
        </w:p>
        <w:p w14:paraId="06A61664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1" w:history="1">
            <w:r>
              <w:rPr>
                <w:rStyle w:val="Hyperlink"/>
              </w:rPr>
              <w:t>4.3 มิติด้านกฎหมายและกฎระเบียบ (Legal and Regulatory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_Toc237932401 \h </w:instrText>
            </w:r>
            <w:r>
              <w:rPr>
                <w:rStyle w:val="Hyperlink"/>
              </w:rPr>
              <w:fldChar w:fldCharType="separate"/>
            </w:r>
            <w:r>
              <w:t>6</w:t>
            </w:r>
            <w:r>
              <w:rPr>
                <w:rStyle w:val="Hyperlink"/>
              </w:rPr>
              <w:fldChar w:fldCharType="end"/>
            </w:r>
          </w:hyperlink>
        </w:p>
        <w:p w14:paraId="2CB5A4F7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2" w:history="1">
            <w:r>
              <w:rPr>
                <w:rStyle w:val="Hyperlink"/>
              </w:rPr>
              <w:t>4.4 มิติด้านสิ่งแวดล้อมและสังคม (Environmental and Social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_Toc237932402 \h </w:instrText>
            </w:r>
            <w:r>
              <w:rPr>
                <w:rStyle w:val="Hyperlink"/>
              </w:rPr>
              <w:fldChar w:fldCharType="separate"/>
            </w:r>
            <w:r>
              <w:t>7</w:t>
            </w:r>
            <w:r>
              <w:rPr>
                <w:rStyle w:val="Hyperlink"/>
              </w:rPr>
              <w:fldChar w:fldCharType="end"/>
            </w:r>
          </w:hyperlink>
        </w:p>
        <w:p w14:paraId="4F8658C5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3" w:history="1">
            <w:r>
              <w:rPr>
                <w:rStyle w:val="Hyperlink"/>
              </w:rPr>
              <w:t>4.5 มิติด้านการเงินและเศรษฐศาสตร์ (Financial and Economic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_Toc237932403 \h </w:instrText>
            </w:r>
            <w:r>
              <w:rPr>
                <w:rStyle w:val="Hyperlink"/>
              </w:rPr>
              <w:fldChar w:fldCharType="separate"/>
            </w:r>
            <w:r>
              <w:t>7</w:t>
            </w:r>
            <w:r>
              <w:rPr>
                <w:rStyle w:val="Hyperlink"/>
              </w:rPr>
              <w:fldChar w:fldCharType="end"/>
            </w:r>
          </w:hyperlink>
        </w:p>
        <w:p w14:paraId="70084A84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4" w:history="1">
            <w:r>
              <w:rPr>
                <w:rStyle w:val="Hyperlink"/>
              </w:rPr>
              <w:t>4.6 มิติด้านการบริหารความเสี่ยง (Risk Assessment)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_Toc237932404 \h </w:instrText>
            </w:r>
            <w:r>
              <w:rPr>
                <w:rStyle w:val="Hyperlink"/>
              </w:rPr>
              <w:fldChar w:fldCharType="separate"/>
            </w:r>
            <w:r>
              <w:t>8</w:t>
            </w:r>
            <w:r>
              <w:rPr>
                <w:rStyle w:val="Hyperlink"/>
              </w:rPr>
              <w:fldChar w:fldCharType="end"/>
            </w:r>
          </w:hyperlink>
        </w:p>
        <w:p w14:paraId="091F98B3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5" w:history="1">
            <w:r>
              <w:rPr>
                <w:rStyle w:val="Hyperlink"/>
              </w:rPr>
              <w:t>4.7 มิติด้านองค์กรและการบริหารจัดการ (Organizational and Management Feasibility)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_Toc237932405 \h </w:instrText>
            </w:r>
            <w:r>
              <w:rPr>
                <w:rStyle w:val="Hyperlink"/>
              </w:rPr>
              <w:fldChar w:fldCharType="separate"/>
            </w:r>
            <w:r>
              <w:t>8</w:t>
            </w:r>
            <w:r>
              <w:rPr>
                <w:rStyle w:val="Hyperlink"/>
              </w:rPr>
              <w:fldChar w:fldCharType="end"/>
            </w:r>
          </w:hyperlink>
        </w:p>
        <w:p w14:paraId="1C31D07D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06" w:history="1">
            <w:r>
              <w:rPr>
                <w:rStyle w:val="Hyperlink"/>
              </w:rPr>
              <w:t>5. ขอบเขตการศึกษาเฉพาะรายโครงการ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_Toc237932406 \h </w:instrText>
            </w:r>
            <w:r>
              <w:rPr>
                <w:rStyle w:val="Hyperlink"/>
              </w:rPr>
              <w:fldChar w:fldCharType="separate"/>
            </w:r>
            <w:r>
              <w:t>9</w:t>
            </w:r>
            <w:r>
              <w:rPr>
                <w:rStyle w:val="Hyperlink"/>
              </w:rPr>
              <w:fldChar w:fldCharType="end"/>
            </w:r>
          </w:hyperlink>
        </w:p>
        <w:p w14:paraId="3E180D7F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7" w:history="1">
            <w:r>
              <w:rPr>
                <w:rStyle w:val="Hyperlink"/>
              </w:rPr>
              <w:t>5.1 โครงการโรงไฟฟ้าชีวมวล (Biomass Power Plant)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_Toc237932407 \h </w:instrText>
            </w:r>
            <w:r>
              <w:rPr>
                <w:rStyle w:val="Hyperlink"/>
              </w:rPr>
              <w:fldChar w:fldCharType="separate"/>
            </w:r>
            <w:r>
              <w:t>9</w:t>
            </w:r>
            <w:r>
              <w:rPr>
                <w:rStyle w:val="Hyperlink"/>
              </w:rPr>
              <w:fldChar w:fldCharType="end"/>
            </w:r>
          </w:hyperlink>
        </w:p>
        <w:p w14:paraId="3BCAA2EB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8" w:history="1">
            <w:r>
              <w:rPr>
                <w:rStyle w:val="Hyperlink"/>
              </w:rPr>
              <w:t>5.2 โครงการโรงไฟฟ้าพลังงานขยะ (Waste-to-Energy Power Plant)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_Toc237932408 \h </w:instrText>
            </w:r>
            <w:r>
              <w:rPr>
                <w:rStyle w:val="Hyperlink"/>
              </w:rPr>
              <w:fldChar w:fldCharType="separate"/>
            </w:r>
            <w:r>
              <w:t>9</w:t>
            </w:r>
            <w:r>
              <w:rPr>
                <w:rStyle w:val="Hyperlink"/>
              </w:rPr>
              <w:fldChar w:fldCharType="end"/>
            </w:r>
          </w:hyperlink>
        </w:p>
        <w:p w14:paraId="67D8ECC8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09" w:history="1">
            <w:r>
              <w:rPr>
                <w:rStyle w:val="Hyperlink"/>
              </w:rPr>
              <w:t>5.3 โครงการผู้ลงทุนภายใต้สัญญา Private PPA Solar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_Toc237932409 \h </w:instrText>
            </w:r>
            <w:r>
              <w:rPr>
                <w:rStyle w:val="Hyperlink"/>
              </w:rPr>
              <w:fldChar w:fldCharType="separate"/>
            </w:r>
            <w:r>
              <w:t>10</w:t>
            </w:r>
            <w:r>
              <w:rPr>
                <w:rStyle w:val="Hyperlink"/>
              </w:rPr>
              <w:fldChar w:fldCharType="end"/>
            </w:r>
          </w:hyperlink>
        </w:p>
        <w:p w14:paraId="0800A594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10" w:history="1">
            <w:r>
              <w:rPr>
                <w:rStyle w:val="Hyperlink"/>
              </w:rPr>
              <w:t>5.4 โครงการธุรกิจสถานีอัดประจุยานยนต์ไฟฟ้า (EV Charging Station)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_Toc237932410 \h </w:instrText>
            </w:r>
            <w:r>
              <w:rPr>
                <w:rStyle w:val="Hyperlink"/>
              </w:rPr>
              <w:fldChar w:fldCharType="separate"/>
            </w:r>
            <w:r>
              <w:t>10</w:t>
            </w:r>
            <w:r>
              <w:rPr>
                <w:rStyle w:val="Hyperlink"/>
              </w:rPr>
              <w:fldChar w:fldCharType="end"/>
            </w:r>
          </w:hyperlink>
        </w:p>
        <w:p w14:paraId="1BDCC7FB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11" w:history="1">
            <w:r>
              <w:rPr>
                <w:rStyle w:val="Hyperlink"/>
              </w:rPr>
              <w:t>6. ระเบียบวิธีการศึกษา (Methodology)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_Toc237932411 \h </w:instrText>
            </w:r>
            <w:r>
              <w:rPr>
                <w:rStyle w:val="Hyperlink"/>
              </w:rPr>
              <w:fldChar w:fldCharType="separate"/>
            </w:r>
            <w:r>
              <w:t>12</w:t>
            </w:r>
            <w:r>
              <w:rPr>
                <w:rStyle w:val="Hyperlink"/>
              </w:rPr>
              <w:fldChar w:fldCharType="end"/>
            </w:r>
          </w:hyperlink>
        </w:p>
        <w:p w14:paraId="7FF097E9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12" w:history="1">
            <w:r>
              <w:rPr>
                <w:rStyle w:val="Hyperlink"/>
              </w:rPr>
              <w:t>6.1 การเก็บรวบรวมข้อมูล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_Toc237932412 \h </w:instrText>
            </w:r>
            <w:r>
              <w:rPr>
                <w:rStyle w:val="Hyperlink"/>
              </w:rPr>
              <w:fldChar w:fldCharType="separate"/>
            </w:r>
            <w:r>
              <w:t>12</w:t>
            </w:r>
            <w:r>
              <w:rPr>
                <w:rStyle w:val="Hyperlink"/>
              </w:rPr>
              <w:fldChar w:fldCharType="end"/>
            </w:r>
          </w:hyperlink>
        </w:p>
        <w:p w14:paraId="4C00BA88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13" w:history="1">
            <w:r>
              <w:rPr>
                <w:rStyle w:val="Hyperlink"/>
              </w:rPr>
              <w:t>6.2 การวิเคราะห์ข้อมูล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_Toc237932413 \h </w:instrText>
            </w:r>
            <w:r>
              <w:rPr>
                <w:rStyle w:val="Hyperlink"/>
              </w:rPr>
              <w:fldChar w:fldCharType="separate"/>
            </w:r>
            <w:r>
              <w:t>12</w:t>
            </w:r>
            <w:r>
              <w:rPr>
                <w:rStyle w:val="Hyperlink"/>
              </w:rPr>
              <w:fldChar w:fldCharType="end"/>
            </w:r>
          </w:hyperlink>
        </w:p>
        <w:p w14:paraId="5300DB08" w14:textId="77777777" w:rsidR="00BC510C" w:rsidRPr="00BC510C" w:rsidRDefault="00BC510C">
          <w:pPr>
            <w:pStyle w:val="TOC2"/>
            <w:tabs>
              <w:tab w:val="right" w:leader="dot" w:pos="8756"/>
            </w:tabs>
          </w:pPr>
          <w:hyperlink w:anchor="_Toc237932414" w:history="1">
            <w:r>
              <w:rPr>
                <w:rStyle w:val="Hyperlink"/>
              </w:rPr>
              <w:t>6.3 การประกันคุณภาพของการศึกษา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_Toc237932414 \h </w:instrText>
            </w:r>
            <w:r>
              <w:rPr>
                <w:rStyle w:val="Hyperlink"/>
              </w:rPr>
              <w:fldChar w:fldCharType="separate"/>
            </w:r>
            <w:r>
              <w:t>12</w:t>
            </w:r>
            <w:r>
              <w:rPr>
                <w:rStyle w:val="Hyperlink"/>
              </w:rPr>
              <w:fldChar w:fldCharType="end"/>
            </w:r>
          </w:hyperlink>
        </w:p>
        <w:p w14:paraId="62DFA3C3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15" w:history="1">
            <w:r>
              <w:rPr>
                <w:rStyle w:val="Hyperlink"/>
              </w:rPr>
              <w:t>7. เกณฑ์การประเมินความเป็นไปได้และการตัดสินใจลงทุน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_Toc237932415 \h </w:instrText>
            </w:r>
            <w:r>
              <w:rPr>
                <w:rStyle w:val="Hyperlink"/>
              </w:rPr>
              <w:fldChar w:fldCharType="separate"/>
            </w:r>
            <w:r>
              <w:t>12</w:t>
            </w:r>
            <w:r>
              <w:rPr>
                <w:rStyle w:val="Hyperlink"/>
              </w:rPr>
              <w:fldChar w:fldCharType="end"/>
            </w:r>
          </w:hyperlink>
        </w:p>
        <w:p w14:paraId="389A5239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16" w:history="1">
            <w:r>
              <w:rPr>
                <w:rStyle w:val="Hyperlink"/>
              </w:rPr>
              <w:t>8. ผลงานที่ต้องส่งมอบ (Deliverables)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_Toc237932416 \h </w:instrText>
            </w:r>
            <w:r>
              <w:rPr>
                <w:rStyle w:val="Hyperlink"/>
              </w:rPr>
              <w:fldChar w:fldCharType="separate"/>
            </w:r>
            <w:r>
              <w:t>13</w:t>
            </w:r>
            <w:r>
              <w:rPr>
                <w:rStyle w:val="Hyperlink"/>
              </w:rPr>
              <w:fldChar w:fldCharType="end"/>
            </w:r>
          </w:hyperlink>
        </w:p>
        <w:p w14:paraId="13511B25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17" w:history="1">
            <w:r>
              <w:rPr>
                <w:rStyle w:val="Hyperlink"/>
              </w:rPr>
              <w:t>9. กรอบระยะเวลาดำเนินการ (Indicative Timeline)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_Toc237932417 \h </w:instrText>
            </w:r>
            <w:r>
              <w:rPr>
                <w:rStyle w:val="Hyperlink"/>
              </w:rPr>
              <w:fldChar w:fldCharType="separate"/>
            </w:r>
            <w:r>
              <w:t>14</w:t>
            </w:r>
            <w:r>
              <w:rPr>
                <w:rStyle w:val="Hyperlink"/>
              </w:rPr>
              <w:fldChar w:fldCharType="end"/>
            </w:r>
          </w:hyperlink>
        </w:p>
        <w:p w14:paraId="298B0407" w14:textId="77777777" w:rsidR="00BC510C" w:rsidRPr="00BC510C" w:rsidRDefault="00BC510C">
          <w:pPr>
            <w:pStyle w:val="TOC1"/>
            <w:tabs>
              <w:tab w:val="right" w:leader="dot" w:pos="8756"/>
            </w:tabs>
          </w:pPr>
          <w:hyperlink w:anchor="_Toc237932418" w:history="1">
            <w:r>
              <w:rPr>
                <w:rStyle w:val="Hyperlink"/>
              </w:rPr>
              <w:t>ภาคผนวก ก: โครงสร้างรายงานฉบับสมบูรณ์ (สารบัญที่เสนอ)</w:t>
            </w:r>
            <w:r>
              <w:tab/>
            </w:r>
            <w:r>
              <w:rPr>
                <w:rStyle w:val="Hyperlink"/>
              </w:rPr>
              <w:fldChar w:fldCharType="begin"/>
            </w:r>
            <w:r>
              <w:instrText xml:space="preserve"> PAGEREF _Toc237932418 \h </w:instrText>
            </w:r>
            <w:r>
              <w:rPr>
                <w:rStyle w:val="Hyperlink"/>
              </w:rPr>
              <w:fldChar w:fldCharType="separate"/>
            </w:r>
            <w:r>
              <w:t>15</w:t>
            </w:r>
            <w:r>
              <w:rPr>
                <w:rStyle w:val="Hyperlink"/>
              </w:rPr>
              <w:fldChar w:fldCharType="end"/>
            </w:r>
          </w:hyperlink>
        </w:p>
        <w:p w14:paraId="5526531D" w14:textId="77777777" w:rsidR="0080007E" w:rsidRPr="00BC510C" w:rsidRDefault="00000000">
          <w:r>
            <w:fldChar w:fldCharType="end"/>
          </w:r>
        </w:p>
      </w:sdtContent>
    </w:sdt>
    <w:p w14:paraId="3A4F5FD2" w14:textId="77777777" w:rsidR="0080007E" w:rsidRPr="00BC510C" w:rsidRDefault="00000000">
      <w:r>
        <w:br w:type="page"/>
      </w:r>
    </w:p>
    <w:p w14:paraId="121BBE6E" w14:textId="77777777" w:rsidR="0080007E" w:rsidRPr="00BC510C" w:rsidRDefault="00000000">
      <w:pPr>
        <w:pStyle w:val="Heading1"/>
        <w:rPr>
          <w:noProof/>
        </w:rPr>
      </w:pPr>
      <w:bookmarkStart w:id="1" w:name="_Toc237932395"/>
      <w:r>
        <w:rPr>
          <w:noProof/>
        </w:rPr>
        <w:lastRenderedPageBreak/>
        <w:t>1. หลักการและเหตุผล</w:t>
      </w:r>
      <w:bookmarkEnd w:id="1"/>
    </w:p>
    <w:p w14:paraId="4D652BD8" w14:textId="77777777" w:rsidR="0080007E" w:rsidRPr="00BC510C" w:rsidRDefault="00000000">
      <w:pPr>
        <w:jc w:val="thaiDistribute"/>
      </w:pPr>
      <w:r>
        <w:t>ภายใต้ทิศทางการเปลี่ยนผ่านด้านพลังงาน (Energy Transition) ของประเทศไทยตามแผนพัฒนากำลังผลิตไฟฟ้าของประเทศ (Power Development Plan: PDP) แผนพัฒนาพลังงานทดแทนและพลังงานทางเลือก (Alternative Energy Development Plan: AEDP)</w:t>
      </w:r>
      <w:r>
        <w:rPr>
          <w:rStyle w:val="FootnoteReference"/>
        </w:rPr>
        <w:footnoteReference w:id="1"/>
      </w:r>
      <w:r>
        <w:t xml:space="preserve"> และเป้าหมายความเป็นกลางทางคาร์บอน (Carbon Neutrality) ภายในปี พ.ศ. 2593 ตลอดจนการปล่อยก๊าซเรือนกระจกสุทธิเป็นศูนย์ (Net Zero Emissions) ภายในปี พ.ศ. 2608</w:t>
      </w:r>
      <w:r>
        <w:rPr>
          <w:rStyle w:val="FootnoteReference"/>
        </w:rPr>
        <w:footnoteReference w:id="2"/>
      </w:r>
      <w:r>
        <w:t xml:space="preserve"> ธุรกิจพลังงานหมุนเวียนและโครงสร้างพื้นฐานด้านยานยนต์ไฟฟ้าจึงเป็นสาขาการลงทุนที่มีศักยภาพเชิงยุทธศาสตร์สูง</w:t>
      </w:r>
    </w:p>
    <w:p w14:paraId="3D4FEBEA" w14:textId="77777777" w:rsidR="0080007E" w:rsidRPr="00BC510C" w:rsidRDefault="00000000">
      <w:pPr>
        <w:jc w:val="thaiDistribute"/>
      </w:pPr>
      <w:r>
        <w:t>องค์กรจึงมีดำริที่จะดำเนินการศึกษาความเป็นไปได้ของโครงการ (Project Feasibility Study) สำหรับการลงทุนในธุรกิจพลังงาน 4 ประเภท ได้แก่ (1) โรงไฟฟ้าชีวมวล (Biomass Power Plant) (2) โรงไฟฟ้าพลังงานขยะ (Waste-to-Energy Power Plant) (3) การเป็นผู้ลงทุนภายใต้สัญญาซื้อขายไฟฟ้าภาคเอกชนสำหรับระบบผลิตไฟฟ้าพลังงานแสงอาทิตย์ (Private PPA Solar Investor) และ (4) การเป็นผู้ลงทุนและประกอบธุรกิจสถานีอัดประจุไฟฟ้าสำหรับยานยนต์ไฟฟ้า (Electric Vehicle Charging Station) เพื่อใช้เป็นข้อมูลประกอบการตัดสินใจลงทุนอย่างเป็นระบบ บนพื้นฐานของหลักวิชาการและข้อมูลเชิงประจักษ์</w:t>
      </w:r>
    </w:p>
    <w:p w14:paraId="3E1A3FCF" w14:textId="77777777" w:rsidR="0080007E" w:rsidRPr="00BC510C" w:rsidRDefault="00000000">
      <w:pPr>
        <w:jc w:val="thaiDistribute"/>
      </w:pPr>
      <w:r>
        <w:t>เอกสารฉบับนี้จัดทำขึ้นเพื่อกำหนดขอบเขตของงาน (Terms of Reference: TOR) สำหรับการศึกษาความเป็นไปได้ดังกล่าว โดยครอบคลุมวัตถุประสงค์ ขอบเขตการศึกษารายมิติและรายโครงการ ระเบียบวิธีการศึกษา เกณฑ์การประเมินความเป็นไปได้ ผลงานที่ต้องส่งมอบ และกรอบระยะเวลาดำเนินงาน</w:t>
      </w:r>
    </w:p>
    <w:p w14:paraId="100EACD6" w14:textId="77777777" w:rsidR="0080007E" w:rsidRPr="00BC510C" w:rsidRDefault="00000000">
      <w:pPr>
        <w:pStyle w:val="Heading1"/>
        <w:rPr>
          <w:noProof/>
        </w:rPr>
      </w:pPr>
      <w:bookmarkStart w:id="2" w:name="_Toc237932396"/>
      <w:r>
        <w:rPr>
          <w:noProof/>
        </w:rPr>
        <w:t>2. วัตถุประสงค์ของการศึกษา</w:t>
      </w:r>
      <w:bookmarkEnd w:id="2"/>
    </w:p>
    <w:p w14:paraId="1E094FE8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เพื่อประเมินความเป็นไปได้ของโครงการลงทุนทั้ง 4 ประเภทอย่างครบถ้วนใน 7 มิติ ได้แก่ มิติด้านตลาด ด้านเทคนิคและวิศวกรรม ด้านกฎหมายและกฎระเบียบ ด้านสิ่งแวดล้อมและสังคม ด้านการเงินและเศรษฐศาสตร์ ด้านการบริหารความเสี่ยง และด้านองค์กรและการบริหารจัดการ</w:t>
      </w:r>
    </w:p>
    <w:p w14:paraId="664B39AA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เพื่อวิเคราะห์เปรียบเทียบความน่าสนใจเชิงการลงทุน (Investment Attractiveness) ระหว่างโครงการทั้ง 4 ประเภท และจัดลำดับความสำคัญ (Prioritization) ตามเกณฑ์การตัดสินใจที่กำหนด</w:t>
      </w:r>
    </w:p>
    <w:p w14:paraId="6EF02C69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เพื่อระบุปัจจัยความสำเร็จที่สำคัญ (Critical Success Factors) เงื่อนไขบังคับก่อน (Preconditions) และความเสี่ยงหลักของแต่ละโครงการ พร้อมแนวทางบรรเทาความเสี่ยง (Risk Mitigation Measures)</w:t>
      </w:r>
    </w:p>
    <w:p w14:paraId="0EE4A970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เพื่อจัดทำข้อเสนอแนะเชิงกลยุทธ์และแผนดำเนินงาน (Implementation Roadmap) สำหรับโครงการที่ผ่านเกณฑ์ความเป็นไปได้</w:t>
      </w:r>
    </w:p>
    <w:p w14:paraId="7544F9BD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เพื่อจัดทำเอกสารรายงานจำนวน 2 ฉบับ ทั้งภาษาไทยและภาษาอังกฤษ ได้แก่ ฉบับที่ 1 ขอบเขตของการศึกษา (Inception/TOR Report) และฉบับที่ 2 รายงานการศึกษาความเป็นไปได้ฉบับสมบูรณ์ (Final Feasibility Study Report)</w:t>
      </w:r>
    </w:p>
    <w:p w14:paraId="722DAF82" w14:textId="77777777" w:rsidR="0080007E" w:rsidRPr="00BC510C" w:rsidRDefault="00000000">
      <w:pPr>
        <w:pStyle w:val="Heading1"/>
        <w:rPr>
          <w:noProof/>
        </w:rPr>
      </w:pPr>
      <w:bookmarkStart w:id="3" w:name="_Toc237932397"/>
      <w:r>
        <w:rPr>
          <w:noProof/>
        </w:rPr>
        <w:t>3. นิยามและขอบเขตของโครงการที่ศึกษา</w:t>
      </w:r>
      <w:bookmarkEnd w:id="3"/>
    </w:p>
    <w:tbl>
      <w:tblPr>
        <w:tblW w:w="13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5642"/>
        <w:gridCol w:w="5072"/>
      </w:tblGrid>
      <w:tr w:rsidR="0080007E" w:rsidRPr="00BC510C" w14:paraId="6FEC047E" w14:textId="77777777" w:rsidTr="00BC51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0523" w14:textId="77777777" w:rsidR="0080007E" w:rsidRPr="00BC510C" w:rsidRDefault="00000000">
            <w:r>
              <w:rPr>
                <w:b/>
                <w:bCs/>
              </w:rPr>
              <w:t>โครงการ</w:t>
            </w:r>
          </w:p>
        </w:tc>
        <w:tc>
          <w:tcPr>
            <w:tcW w:w="568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3BF" w14:textId="77777777" w:rsidR="0080007E" w:rsidRPr="00BC510C" w:rsidRDefault="00000000">
            <w:r>
              <w:rPr>
                <w:b/>
                <w:bCs/>
              </w:rPr>
              <w:t>นิยามเชิงปฏิบัติการ</w:t>
            </w:r>
          </w:p>
        </w:tc>
        <w:tc>
          <w:tcPr>
            <w:tcW w:w="507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ACAC" w14:textId="77777777" w:rsidR="0080007E" w:rsidRPr="00BC510C" w:rsidRDefault="00000000">
            <w:r>
              <w:rPr>
                <w:b/>
                <w:bCs/>
              </w:rPr>
              <w:t>รูปแบบธุรกิจเบื้องต้น</w:t>
            </w:r>
          </w:p>
        </w:tc>
      </w:tr>
      <w:tr w:rsidR="0080007E" w:rsidRPr="00BC510C" w14:paraId="3F914C1F" w14:textId="77777777" w:rsidTr="00BC510C">
        <w:tblPrEx>
          <w:tblCellMar>
            <w:top w:w="0" w:type="dxa"/>
            <w:bottom w:w="0" w:type="dxa"/>
          </w:tblCellMar>
        </w:tblPrEx>
        <w:tc>
          <w:tcPr>
            <w:tcW w:w="23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56F3" w14:textId="77777777" w:rsidR="0080007E" w:rsidRPr="00BC510C" w:rsidRDefault="00000000">
            <w:r>
              <w:t>โรงไฟฟ้าชีวมวล</w:t>
            </w:r>
          </w:p>
        </w:tc>
        <w:tc>
          <w:tcPr>
            <w:tcW w:w="5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87CF" w14:textId="77777777" w:rsidR="0080007E" w:rsidRPr="00BC510C" w:rsidRDefault="00000000" w:rsidP="00BC510C">
            <w:pPr>
              <w:ind w:right="-83"/>
            </w:pPr>
            <w:r>
              <w:t>โรงไฟฟ้าที่ใช้เชื้อเพลิงชีวมวล เช่น เศษวัสดุเหลือใช้ทางการเกษตร ไม้สับ แกลบ ชานอ้อย ทะลายปาล์ม เป็นเชื้อเพลิงหลักในการผลิตไฟฟ้า</w:t>
            </w:r>
          </w:p>
        </w:tc>
        <w:tc>
          <w:tcPr>
            <w:tcW w:w="5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00BE" w14:textId="77777777" w:rsidR="0080007E" w:rsidRPr="00BC510C" w:rsidRDefault="00000000">
            <w:r>
              <w:t>ผู้ผลิตไฟฟ้ารายเล็กมาก (VSPP) หรือรายเล็ก (SPP) จำหน่ายไฟฟ้าเข้าระบบภายใต้อัตรารับซื้อ Feed-in Tariff (FiT) และ/หรือจำหน่ายตรงแก่ผู้ใช้ภาคอุตสาหกรรม</w:t>
            </w:r>
          </w:p>
        </w:tc>
      </w:tr>
      <w:tr w:rsidR="0080007E" w:rsidRPr="00BC510C" w14:paraId="2BE428EA" w14:textId="77777777" w:rsidTr="00BC510C">
        <w:tblPrEx>
          <w:tblCellMar>
            <w:top w:w="0" w:type="dxa"/>
            <w:bottom w:w="0" w:type="dxa"/>
          </w:tblCellMar>
        </w:tblPrEx>
        <w:tc>
          <w:tcPr>
            <w:tcW w:w="23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0599" w14:textId="77777777" w:rsidR="0080007E" w:rsidRPr="00BC510C" w:rsidRDefault="00000000">
            <w:r>
              <w:t>โรงไฟฟ้าพลังงานขยะ</w:t>
            </w:r>
          </w:p>
        </w:tc>
        <w:tc>
          <w:tcPr>
            <w:tcW w:w="5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8B3B" w14:textId="77777777" w:rsidR="0080007E" w:rsidRPr="00BC510C" w:rsidRDefault="00000000">
            <w:r>
              <w:t>โรงไฟฟ้าที่แปรรูปขยะชุมชนหรือขยะอุตสาหกรรมเป็นพลังงานไฟฟ้า ด้วยเทคโนโลยีเผาตรง (Incineration) เชื้อเพลิงขยะ (RDF) หรือแก๊สซิฟิเคชัน (Gasification)</w:t>
            </w:r>
          </w:p>
        </w:tc>
        <w:tc>
          <w:tcPr>
            <w:tcW w:w="5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4FAC" w14:textId="77777777" w:rsidR="0080007E" w:rsidRPr="00BC510C" w:rsidRDefault="00000000">
            <w:r>
              <w:t>ความร่วมมือกับองค์กรปกครองส่วนท้องถิ่น (อปท.) ในรูปแบบการร่วมลงทุนระหว่างรัฐและเอกชน (PPP) หรือการรับสัมปทานบริหารจัดการขยะควบคู่การจำหน่ายไฟฟ้า</w:t>
            </w:r>
          </w:p>
        </w:tc>
      </w:tr>
      <w:tr w:rsidR="0080007E" w:rsidRPr="00BC510C" w14:paraId="07896F7C" w14:textId="77777777" w:rsidTr="00BC510C">
        <w:tblPrEx>
          <w:tblCellMar>
            <w:top w:w="0" w:type="dxa"/>
            <w:bottom w:w="0" w:type="dxa"/>
          </w:tblCellMar>
        </w:tblPrEx>
        <w:tc>
          <w:tcPr>
            <w:tcW w:w="23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7205" w14:textId="77777777" w:rsidR="0080007E" w:rsidRPr="00BC510C" w:rsidRDefault="00000000">
            <w:r>
              <w:t>ผู้ลงทุน Private PPA Solar</w:t>
            </w:r>
          </w:p>
        </w:tc>
        <w:tc>
          <w:tcPr>
            <w:tcW w:w="5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21ED" w14:textId="77777777" w:rsidR="0080007E" w:rsidRPr="00BC510C" w:rsidRDefault="00000000">
            <w:r>
              <w:t>การลงทุนติดตั้งระบบผลิตไฟฟ้าพลังงานแสงอาทิตย์ (บนหลังคา บนพื้นดิน หรือบนผิวน้ำ) บนพื้นที่ของผู้ใช้ไฟฟ้า แล้วจำหน่ายไฟฟ้าให้ผู้ใช้โดยตรงภายใต้สัญญาซื้อขายไฟฟ้าภาคเอกชน (Private/Corporate PPA)</w:t>
            </w:r>
          </w:p>
        </w:tc>
        <w:tc>
          <w:tcPr>
            <w:tcW w:w="5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6187" w14:textId="77777777" w:rsidR="0080007E" w:rsidRPr="00BC510C" w:rsidRDefault="00000000">
            <w:r>
              <w:t>รูปแบบ Build-Own-Operate (BOO) หรือ Build-Own-Operate-Transfer (BOOT) โดยกำหนดอัตราค่าไฟฟ้าต่ำกว่าอัตราของการไฟฟ้า (Discount-to-Grid) ตลอดอายุสัญญา 10–25 ปี</w:t>
            </w:r>
          </w:p>
        </w:tc>
      </w:tr>
      <w:tr w:rsidR="0080007E" w:rsidRPr="00BC510C" w14:paraId="1ECE64F6" w14:textId="77777777" w:rsidTr="00BC510C">
        <w:tblPrEx>
          <w:tblCellMar>
            <w:top w:w="0" w:type="dxa"/>
            <w:bottom w:w="0" w:type="dxa"/>
          </w:tblCellMar>
        </w:tblPrEx>
        <w:tc>
          <w:tcPr>
            <w:tcW w:w="23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89B1" w14:textId="77777777" w:rsidR="0080007E" w:rsidRPr="00BC510C" w:rsidRDefault="00000000">
            <w:r>
              <w:t>สถานีอัดประจุยานยนต์ไฟฟ้า</w:t>
            </w:r>
          </w:p>
        </w:tc>
        <w:tc>
          <w:tcPr>
            <w:tcW w:w="5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1421" w14:textId="77777777" w:rsidR="0080007E" w:rsidRPr="00BC510C" w:rsidRDefault="00000000">
            <w:r>
              <w:t>การลงทุน พัฒนา และบริหารจัดการสถานีอัดประจุไฟฟ้าสาธารณะและกึ่งสาธารณะ ทั้งประเภทกระแสสลับ (AC) และกระแสตรงชนิดชาร์จเร็ว (DC Fast Charging)</w:t>
            </w:r>
          </w:p>
        </w:tc>
        <w:tc>
          <w:tcPr>
            <w:tcW w:w="5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251B" w14:textId="77777777" w:rsidR="0080007E" w:rsidRPr="00BC510C" w:rsidRDefault="00000000">
            <w:r>
              <w:t>รายได้จากค่าบริการอัดประจุ ค่าธรรมเนียมแพลตฟอร์ม บริการเสริม และความร่วมมือกับเจ้าของพื้นที่เชิงพาณิชย์ (Revenue Sharing / Fixed Rent)</w:t>
            </w:r>
          </w:p>
        </w:tc>
      </w:tr>
    </w:tbl>
    <w:p w14:paraId="6F03F76C" w14:textId="77777777" w:rsidR="0080007E" w:rsidRPr="00BC510C" w:rsidRDefault="0080007E">
      <w:pPr>
        <w:jc w:val="thaiDistribute"/>
      </w:pPr>
    </w:p>
    <w:p w14:paraId="0637E412" w14:textId="77777777" w:rsidR="0080007E" w:rsidRPr="00BC510C" w:rsidRDefault="00000000">
      <w:pPr>
        <w:pStyle w:val="Heading1"/>
        <w:rPr>
          <w:noProof/>
        </w:rPr>
      </w:pPr>
      <w:bookmarkStart w:id="4" w:name="_Toc237932398"/>
      <w:r>
        <w:rPr>
          <w:noProof/>
        </w:rPr>
        <w:t>4. ขอบเขตการศึกษารายมิติ (ใช้ร่วมกันทุกโครงการ)</w:t>
      </w:r>
      <w:bookmarkEnd w:id="4"/>
    </w:p>
    <w:p w14:paraId="29354781" w14:textId="77777777" w:rsidR="0080007E" w:rsidRPr="00BC510C" w:rsidRDefault="00000000">
      <w:pPr>
        <w:pStyle w:val="Heading2"/>
        <w:rPr>
          <w:noProof/>
        </w:rPr>
      </w:pPr>
      <w:bookmarkStart w:id="5" w:name="_Toc237932399"/>
      <w:r>
        <w:rPr>
          <w:noProof/>
        </w:rPr>
        <w:t>4.1 มิติด้านตลาด (Market Feasibility)</w:t>
      </w:r>
      <w:bookmarkEnd w:id="5"/>
    </w:p>
    <w:p w14:paraId="7C04E5D8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การวิเคราะห์อุปสงค์และอุปทานพลังงานไฟฟ้า โครงสร้างตลาด และแนวโน้มอุตสาหกรรม ทั้งระดับมหภาคและระดับพื้นที่เป้าหมาย</w:t>
      </w:r>
    </w:p>
    <w:p w14:paraId="62F28255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การวิเคราะห์นโยบายภาครัฐที่เกี่ยวข้อง ได้แก่ แผน PDP แผน AEDP มาตรการรับซื้อไฟฟ้าจากพลังงานหมุนเวียน และนโยบายส่งเสริมยานยนต์ไฟฟ้า</w:t>
      </w:r>
      <w:r>
        <w:rPr>
          <w:rStyle w:val="FootnoteReference"/>
        </w:rPr>
        <w:footnoteReference w:id="3"/>
      </w:r>
    </w:p>
    <w:p w14:paraId="0C7EE241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การวิเคราะห์โครงสร้างราคาและอัตรารับซื้อ ได้แก่ อัตรา FiT รายเชื้อเพลิง</w:t>
      </w:r>
      <w:r>
        <w:rPr>
          <w:rStyle w:val="FootnoteReference"/>
        </w:rPr>
        <w:footnoteReference w:id="4"/>
      </w:r>
      <w:r>
        <w:rPr>
          <w:noProof/>
        </w:rPr>
        <w:t xml:space="preserve"> อัตราค่าไฟฟ้าฐานและค่าไฟฟ้าผันแปร (Ft) และโครงสร้างอัตราค่าบริการอัดประจุ</w:t>
      </w:r>
    </w:p>
    <w:p w14:paraId="7ABA9640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การวิเคราะห์คู่แข่งขัน ส่วนแบ่งตลาด และการวางตำแหน่งเชิงกลยุทธ์ (Strategic Positioning)</w:t>
      </w:r>
    </w:p>
    <w:p w14:paraId="63230FC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การประมาณการรายได้และปริมาณจำหน่ายตลอดอายุโครงการ ภายใต้ฉากทัศน์ฐาน ฉากทัศน์สูง และฉากทัศน์ต่ำ (Base / High / Low Scenarios)</w:t>
      </w:r>
    </w:p>
    <w:p w14:paraId="53205EB7" w14:textId="77777777" w:rsidR="0080007E" w:rsidRPr="00BC510C" w:rsidRDefault="00000000">
      <w:pPr>
        <w:pStyle w:val="Heading2"/>
        <w:rPr>
          <w:noProof/>
        </w:rPr>
      </w:pPr>
      <w:bookmarkStart w:id="6" w:name="_Toc237932400"/>
      <w:r>
        <w:rPr>
          <w:noProof/>
        </w:rPr>
        <w:t>4.2 มิติด้านเทคนิคและวิศวกรรม (Technical Feasibility)</w:t>
      </w:r>
      <w:bookmarkEnd w:id="6"/>
    </w:p>
    <w:p w14:paraId="1BDE792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การคัดเลือกและประเมินความเหมาะสมของเทคโนโลยี (Technology Assessment) รวมถึงระดับความพร้อมของเทคโนโลยี (Technology Readiness Level)</w:t>
      </w:r>
    </w:p>
    <w:p w14:paraId="40D9E159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การศึกษาความเหมาะสมของที่ตั้งโครงการ (Site Selection) ศักยภาพเชิงพื้นที่ และเงื่อนไขการเชื่อมต่อระบบโครงข่ายไฟฟ้า (Grid Connection / Interconnection Study)</w:t>
      </w:r>
    </w:p>
    <w:p w14:paraId="01A6DE90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การออกแบบเชิงแนวคิด (Conceptual Design) การกำหนดขนาดกำลังการผลิตที่เหมาะสม (Optimal Sizing) และการประมาณการพลังงานที่ผลิตได้ (Energy Yield Assessment)</w:t>
      </w:r>
    </w:p>
    <w:p w14:paraId="79B4FBD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การประเมินความมั่นคงของห่วงโซ่อุปทานวัตถุดิบและเชื้อเพลิง (Feedstock / Fuel Supply Security)</w:t>
      </w:r>
    </w:p>
    <w:p w14:paraId="2F2F97BE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การประมาณการด้านการดำเนินงานและบำรุงรักษา (Operation and Maintenance) รวมถึงค่าความพร้อมจ่าย (Availability Factor) และประสิทธิภาพของระบบ</w:t>
      </w:r>
    </w:p>
    <w:p w14:paraId="4FDD3175" w14:textId="77777777" w:rsidR="0080007E" w:rsidRPr="00BC510C" w:rsidRDefault="00000000">
      <w:pPr>
        <w:pStyle w:val="Heading2"/>
        <w:rPr>
          <w:noProof/>
        </w:rPr>
      </w:pPr>
      <w:bookmarkStart w:id="7" w:name="_Toc237932401"/>
      <w:r>
        <w:rPr>
          <w:noProof/>
        </w:rPr>
        <w:t>4.3 มิติด้านกฎหมายและกฎระเบียบ (Legal and Regulatory Feasibility)</w:t>
      </w:r>
      <w:bookmarkEnd w:id="7"/>
    </w:p>
    <w:p w14:paraId="73BF42B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การทบทวนกฎหมาย กฎระเบียบ และประกาศที่เกี่ยวข้อง อาทิ พระราชบัญญัติการประกอบกิจการพลังงาน พ.ศ. 2550</w:t>
      </w:r>
      <w:r>
        <w:rPr>
          <w:rStyle w:val="FootnoteReference"/>
        </w:rPr>
        <w:footnoteReference w:id="5"/>
      </w:r>
      <w:r>
        <w:rPr>
          <w:noProof/>
        </w:rPr>
        <w:t xml:space="preserve"> ระเบียบคณะกรรมการกำกับกิจการพลังงาน (กกพ.) กฎหมายผังเมือง และกฎหมายโรงงาน</w:t>
      </w:r>
    </w:p>
    <w:p w14:paraId="0B70932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การจัดทำแผนผังใบอนุญาตที่จำเป็น (Licensing and Permitting Roadmap) เช่น ใบอนุญาตผลิตไฟฟ้า ใบอนุญาตประกอบกิจการโรงงาน (รง.4) ใบอนุญาตก่อสร้าง และการขึ้นทะเบียนที่เกี่ยวข้อง</w:t>
      </w:r>
    </w:p>
    <w:p w14:paraId="78C9D2B9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การวิเคราะห์เงื่อนไขสัญญาสำคัญ ได้แก่ สัญญาซื้อขายไฟฟ้า (PPA) สัญญาจัดหาเชื้อเพลิง สัญญาก่อสร้างแบบเบ็ดเสร็จ (EPC Contract) และสัญญาเช่าหรือใช้ประโยชน์ที่ดิน</w:t>
      </w:r>
    </w:p>
    <w:p w14:paraId="71A5ECB4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การประเมินสิทธิประโยชน์การส่งเสริมการลงทุน (BOI Incentives)</w:t>
      </w:r>
      <w:r>
        <w:rPr>
          <w:rStyle w:val="FootnoteReference"/>
        </w:rPr>
        <w:footnoteReference w:id="6"/>
      </w:r>
      <w:r>
        <w:rPr>
          <w:noProof/>
        </w:rPr>
        <w:t xml:space="preserve"> และมาตรการสนับสนุนทางภาษี</w:t>
      </w:r>
    </w:p>
    <w:p w14:paraId="0576AC02" w14:textId="77777777" w:rsidR="0080007E" w:rsidRPr="00BC510C" w:rsidRDefault="00000000">
      <w:pPr>
        <w:pStyle w:val="Heading2"/>
        <w:rPr>
          <w:noProof/>
        </w:rPr>
      </w:pPr>
      <w:bookmarkStart w:id="8" w:name="_Toc237932402"/>
      <w:r>
        <w:rPr>
          <w:noProof/>
        </w:rPr>
        <w:t>4.4 มิติด้านสิ่งแวดล้อมและสังคม (Environmental and Social Feasibility)</w:t>
      </w:r>
      <w:bookmarkEnd w:id="8"/>
    </w:p>
    <w:p w14:paraId="34B16A85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การประเมินข้อกำหนดด้านการวิเคราะห์ผลกระทบสิ่งแวดล้อม (EIA / IEE) หรือประมวลหลักการปฏิบัติ (Code of Practice: CoP) ตามขนาดและประเภทโครงการ</w:t>
      </w:r>
      <w:r>
        <w:rPr>
          <w:rStyle w:val="FootnoteReference"/>
        </w:rPr>
        <w:footnoteReference w:id="7"/>
      </w:r>
    </w:p>
    <w:p w14:paraId="1550471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การประเมินผลกระทบด้านมลภาวะทางอากาศ น้ำ เสียง กลิ่น และการจัดการกากของเสีย พร้อมมาตรการป้องกันและแก้ไข</w:t>
      </w:r>
    </w:p>
    <w:p w14:paraId="43C3D781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การวิเคราะห์ผู้มีส่วนได้ส่วนเสีย (Stakeholder Analysis) การมีส่วนร่วมของชุมชน และการยอมรับทางสังคม (Social License to Operate)</w:t>
      </w:r>
    </w:p>
    <w:p w14:paraId="4B2F58C3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การประเมินศักยภาพการลดก๊าซเรือนกระจกและโอกาสจากกลไกคาร์บอนเครดิต รวมถึงใบรับรองการผลิตพลังงานหมุนเวียน (Renewable Energy Certificate: REC)</w:t>
      </w:r>
    </w:p>
    <w:p w14:paraId="726D1611" w14:textId="77777777" w:rsidR="0080007E" w:rsidRPr="00BC510C" w:rsidRDefault="00000000">
      <w:pPr>
        <w:pStyle w:val="Heading2"/>
        <w:rPr>
          <w:noProof/>
        </w:rPr>
      </w:pPr>
      <w:bookmarkStart w:id="9" w:name="_Toc237932403"/>
      <w:r>
        <w:rPr>
          <w:noProof/>
        </w:rPr>
        <w:t>4.5 มิติด้านการเงินและเศรษฐศาสตร์ (Financial and Economic Feasibility)</w:t>
      </w:r>
      <w:bookmarkEnd w:id="9"/>
    </w:p>
    <w:p w14:paraId="5DF47339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การประมาณการเงินลงทุนโครงการ (CAPEX) ค่าใช้จ่ายดำเนินงาน (OPEX) และต้นทุนการผลิตไฟฟ้าปรับเฉลี่ย (Levelized Cost of Electricity: LCOE)</w:t>
      </w:r>
    </w:p>
    <w:p w14:paraId="05F54507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การจัดทำแบบจำลองทางการเงิน (Financial Model) และประมาณการงบการเงินตลอดอายุโครงการ (Pro Forma Financial Statements)</w:t>
      </w:r>
    </w:p>
    <w:p w14:paraId="2D65BF90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การประเมินความคุ้มค่าการลงทุนด้วยตัวชี้วัดหลัก ได้แก่ มูลค่าปัจจุบันสุทธิ (NPV) อัตราผลตอบแทนภายใน (IRR / Equity IRR) ระยะเวลาคืนทุน (Payback Period และ Discounted Payback Period) และอัตราส่วนความสามารถในการชำระหนี้ (DSCR)</w:t>
      </w:r>
    </w:p>
    <w:p w14:paraId="3372BC9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การวิเคราะห์ความอ่อนไหว (Sensitivity Analysis) และการวิเคราะห์ฉากทัศน์ (Scenario Analysis) ต่อตัวแปรสำคัญ เช่น ราคาเชื้อเพลิง อัตราการใช้บริการ อัตราดอกเบี้ย และเงินลงทุน</w:t>
      </w:r>
    </w:p>
    <w:p w14:paraId="53BAFA4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การกำหนดโครงสร้างเงินทุนที่เหมาะสม (Optimal Capital Structure) สัดส่วนหนี้สินต่อทุน (D/E Ratio) และทางเลือกแหล่งเงินทุน รวมถึงการเงินสีเขียว (Green Finance / Green Bond)</w:t>
      </w:r>
    </w:p>
    <w:p w14:paraId="47203974" w14:textId="77777777" w:rsidR="0080007E" w:rsidRPr="00BC510C" w:rsidRDefault="00000000">
      <w:pPr>
        <w:pStyle w:val="Heading2"/>
        <w:rPr>
          <w:noProof/>
        </w:rPr>
      </w:pPr>
      <w:bookmarkStart w:id="10" w:name="_Toc237932404"/>
      <w:r>
        <w:rPr>
          <w:noProof/>
        </w:rPr>
        <w:t>4.6 มิติด้านการบริหารความเสี่ยง (Risk Assessment)</w:t>
      </w:r>
      <w:bookmarkEnd w:id="10"/>
    </w:p>
    <w:p w14:paraId="3A48F1CE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การระบุ วิเคราะห์ และประเมินระดับความเสี่ยง (Risk Identification, Analysis and Evaluation) ครอบคลุมความเสี่ยงด้านการพัฒนาโครงการ การก่อสร้าง การดำเนินงาน ตลาด การเงิน กฎระเบียบ และเทคโนโลยี</w:t>
      </w:r>
    </w:p>
    <w:p w14:paraId="1B713D6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การจัดทำทะเบียนความเสี่ยง (Risk Register) และแผนภาพความเสี่ยง (Risk Matrix) พร้อมมาตรการบรรเทาและแผนรองรับเหตุการณ์ (Contingency Plan)</w:t>
      </w:r>
    </w:p>
    <w:p w14:paraId="624E9DBE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การวิเคราะห์การจัดสรรความเสี่ยงตามโครงสร้างสัญญา (Contractual Risk Allocation) และแนวทางการประกันภัยโครงการ</w:t>
      </w:r>
    </w:p>
    <w:p w14:paraId="7D067ABB" w14:textId="77777777" w:rsidR="0080007E" w:rsidRPr="00BC510C" w:rsidRDefault="00000000">
      <w:pPr>
        <w:pStyle w:val="Heading2"/>
        <w:rPr>
          <w:noProof/>
        </w:rPr>
      </w:pPr>
      <w:bookmarkStart w:id="11" w:name="_Toc237932405"/>
      <w:r>
        <w:rPr>
          <w:noProof/>
        </w:rPr>
        <w:t>4.7 มิติด้านองค์กรและการบริหารจัดการ (Organizational and Management Feasibility)</w:t>
      </w:r>
      <w:bookmarkEnd w:id="11"/>
    </w:p>
    <w:p w14:paraId="7C9F49AC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การออกแบบโครงสร้างนิติบุคคลโครงการ (Special Purpose Vehicle: SPV) และโครงสร้างการถือหุ้น</w:t>
      </w:r>
    </w:p>
    <w:p w14:paraId="05DA4180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การประเมินขีดความสามารถขององค์กร ความต้องการบุคลากร และแผนพัฒนาศักยภาพ</w:t>
      </w:r>
    </w:p>
    <w:p w14:paraId="210F824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การกำหนดรูปแบบการบริหารโครงการ การกำกับดูแล (Governance Structure) และตัวชี้วัดผลการดำเนินงาน (KPIs)</w:t>
      </w:r>
    </w:p>
    <w:p w14:paraId="6B0588CD" w14:textId="77777777" w:rsidR="0080007E" w:rsidRPr="00BC510C" w:rsidRDefault="00000000">
      <w:r>
        <w:br w:type="page"/>
      </w:r>
    </w:p>
    <w:p w14:paraId="4E5E045A" w14:textId="77777777" w:rsidR="0080007E" w:rsidRPr="00BC510C" w:rsidRDefault="00000000">
      <w:pPr>
        <w:pStyle w:val="Heading1"/>
        <w:rPr>
          <w:noProof/>
        </w:rPr>
      </w:pPr>
      <w:bookmarkStart w:id="12" w:name="_Toc237932406"/>
      <w:r>
        <w:rPr>
          <w:noProof/>
        </w:rPr>
        <w:lastRenderedPageBreak/>
        <w:t>5. ขอบเขตการศึกษาเฉพาะรายโครงการ</w:t>
      </w:r>
      <w:bookmarkEnd w:id="12"/>
    </w:p>
    <w:p w14:paraId="07D9CF7C" w14:textId="77777777" w:rsidR="0080007E" w:rsidRPr="00BC510C" w:rsidRDefault="00000000">
      <w:pPr>
        <w:pStyle w:val="Heading2"/>
        <w:rPr>
          <w:noProof/>
        </w:rPr>
      </w:pPr>
      <w:bookmarkStart w:id="13" w:name="_Toc237932407"/>
      <w:r>
        <w:rPr>
          <w:noProof/>
        </w:rPr>
        <w:t>5.1 โครงการโรงไฟฟ้าชีวมวล (Biomass Power Plant)</w:t>
      </w:r>
      <w:bookmarkEnd w:id="13"/>
    </w:p>
    <w:p w14:paraId="49F972E8" w14:textId="3C69BF7B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การประเมินศักยภาพเชื้อเพลิงชีวมวลเชิงพื้นที่ (Biomass Resource Assessment) ภายในรัศมีการขนส่งที่คุ้มค่าเชิงเศรษฐศาสตร์ ครอบคลุมชนิด ปริมาณ ฤดูกาล ค่าความร้อน (Heating Value) ความชื้น และราคาเชื้อเพลิง</w:t>
      </w:r>
    </w:p>
    <w:p w14:paraId="01BA043A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การวิเคราะห์ความมั่นคงของห่วงโซ่อุปทานเชื้อเพลิง กลยุทธ์การทำสัญญาจัดหาเชื้อเพลิงระยะยาว และความเสี่ยงจากการแข่งขันแย่งชิงวัตถุดิบ</w:t>
      </w:r>
    </w:p>
    <w:p w14:paraId="5840E5A8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การเปรียบเทียบเทคโนโลยีการผลิต ได้แก่ การเผาไหม้โดยตรง (Direct Combustion) ระบบสโตกเกอร์ (Stoker) ฟลูอิไดซ์เบด (Fluidized Bed) และแก๊สซิฟิเคชัน พร้อมการกำหนดขนาดกำลังการผลิตที่เหมาะสมกับปริมาณเชื้อเพลิง</w:t>
      </w:r>
    </w:p>
    <w:p w14:paraId="4CB74DE7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การประเมินรูปแบบการจำหน่ายไฟฟ้า ได้แก่ การจำหน่ายเข้าระบบภายใต้ระเบียบรับซื้อไฟฟ้าจากพลังงานหมุนเวียนในอัตรา FiT การจำหน่ายตรงภาคอุตสาหกรรม และศักยภาพระบบผลิตพลังงานร่วม (Cogeneration)</w:t>
      </w:r>
    </w:p>
    <w:p w14:paraId="2F3468AB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การประเมินข้อกำหนดด้านสิ่งแวดล้อมเฉพาะ เช่น การควบคุมฝุ่นละออง การจัดการขี้เถ้า และการใช้น้ำ</w:t>
      </w:r>
    </w:p>
    <w:p w14:paraId="08A0221F" w14:textId="77777777" w:rsidR="0080007E" w:rsidRPr="00BC510C" w:rsidRDefault="00000000">
      <w:pPr>
        <w:pStyle w:val="Heading2"/>
        <w:rPr>
          <w:noProof/>
        </w:rPr>
      </w:pPr>
      <w:bookmarkStart w:id="14" w:name="_Toc237932408"/>
      <w:r>
        <w:rPr>
          <w:noProof/>
        </w:rPr>
        <w:t>5.2 โครงการโรงไฟฟ้าพลังงานขยะ (Waste-to-Energy Power Plant)</w:t>
      </w:r>
      <w:bookmarkEnd w:id="14"/>
    </w:p>
    <w:p w14:paraId="0249A30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การศึกษาลักษณะสมบัติของขยะ (Waste Characterization Study) ได้แก่ องค์ประกอบทางกายภาพ ค่าความร้อน ความชื้น และปริมาณขยะเข้าระบบที่คาดการณ์ได้ในระยะยาว</w:t>
      </w:r>
    </w:p>
    <w:p w14:paraId="5DFF297D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การวิเคราะห์กรอบความร่วมมือกับองค์กรปกครองส่วนท้องถิ่น รูปแบบการร่วมลงทุนระหว่างรัฐและเอกชน (Public-Private Partnership) ค่ากำจัดขยะ (Tipping Fee) และเงื่อนไขสัมปทาน</w:t>
      </w:r>
    </w:p>
    <w:p w14:paraId="20E78F3C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การเปรียบเทียบเทคโนโลยีแปรรูปขยะเป็นพลังงาน ได้แก่ การเผาแบบตะกรับเคลื่อนที่ (Moving Grate Incineration) การผลิตเชื้อเพลิงขยะ (Refuse-Derived Fuel: RDF) แก๊สซิฟิเคชัน และการหมักย่อยแบบไร้อากาศ (Anaerobic Digestion) สำหรับขยะอินทรีย์</w:t>
      </w:r>
    </w:p>
    <w:p w14:paraId="6E6EADB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การวิเคราะห์โครงสร้างรายได้แบบสองทาง (Dual Revenue Streams) จากค่ากำจัดขยะและการจำหน่ายไฟฟ้าในอัตรา FiT สำหรับขยะชุมชน</w:t>
      </w:r>
      <w:r>
        <w:rPr>
          <w:rStyle w:val="FootnoteReference"/>
        </w:rPr>
        <w:footnoteReference w:id="8"/>
      </w:r>
    </w:p>
    <w:p w14:paraId="270B12C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การประเมินข้อกำหนดการควบคุมมลพิษขั้นสูง โดยเฉพาะสารไดออกซินและฟิวแรน โลหะหนัก และการจัดการเถ้าหนักและเถ้าลอย ตลอดจนประเด็นการยอมรับของชุมชน</w:t>
      </w:r>
    </w:p>
    <w:p w14:paraId="6EDD540E" w14:textId="77777777" w:rsidR="0080007E" w:rsidRPr="00BC510C" w:rsidRDefault="00000000">
      <w:pPr>
        <w:pStyle w:val="Heading2"/>
        <w:rPr>
          <w:noProof/>
        </w:rPr>
      </w:pPr>
      <w:bookmarkStart w:id="15" w:name="_Toc237932409"/>
      <w:r>
        <w:rPr>
          <w:noProof/>
        </w:rPr>
        <w:t>5.3 โครงการผู้ลงทุนภายใต้สัญญา Private PPA Solar</w:t>
      </w:r>
      <w:bookmarkEnd w:id="15"/>
    </w:p>
    <w:p w14:paraId="3BEE9A84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การวิเคราะห์ตลาดเป้าหมายและการคัดกรองลูกค้า (Off-taker Screening) โดยพิจารณาปริมาณการใช้ไฟฟ้า รูปแบบโหลด (Load Profile) ความน่าเชื่อถือทางเครดิต (Creditworthiness) และอายุสัญญาที่เหมาะสม</w:t>
      </w:r>
    </w:p>
    <w:p w14:paraId="4BAA967D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การออกแบบโครงสร้างสัญญาซื้อขายไฟฟ้าภาคเอกชน ได้แก่ โครงสร้างอัตราค่าไฟฟ้าแบบส่วนลดจากอัตราการไฟฟ้า (Discount-to-Grid) เงื่อนไขขั้นต่ำการรับซื้อ (Minimum Take) เงื่อนไขการปรับราคา และเงื่อนไขการโอนกรรมสิทธิ์เมื่อสิ้นสุดสัญญา</w:t>
      </w:r>
    </w:p>
    <w:p w14:paraId="6A5C1FC3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การประเมินศักยภาพทางเทคนิครายพื้นที่ ได้แก่ ความเข้มรังสีอาทิตย์ ศักยภาพหลังคาหรือพื้นที่ติดตั้ง โครงสร้างรองรับ และสัดส่วนการใช้ไฟฟ้าเอง (Self-Consumption Ratio)</w:t>
      </w:r>
    </w:p>
    <w:p w14:paraId="6B3B5A5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การวิเคราะห์ความเสี่ยงเฉพาะของธุรกิจ ได้แก่ ความเสี่ยงด้านเครดิตของคู่สัญญา ความเสี่ยงจากการเปลี่ยนแปลงโครงสร้างค่าไฟฟ้า และผลกระทบจากการเปิดเสรีการซื้อขายไฟฟ้าโดยตรง (Direct PPA) และการใช้ระบบโครงข่ายของบุคคลที่สาม (Third Party Access: TPA)</w:t>
      </w:r>
      <w:r>
        <w:rPr>
          <w:rStyle w:val="FootnoteReference"/>
        </w:rPr>
        <w:footnoteReference w:id="9"/>
      </w:r>
    </w:p>
    <w:p w14:paraId="5F04FDDD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การประเมินโอกาสต่อยอด ได้แก่ ระบบกักเก็บพลังงานด้วยแบตเตอรี่ (BESS) และการจำหน่ายใบรับรอง REC</w:t>
      </w:r>
    </w:p>
    <w:p w14:paraId="5D8BEDB6" w14:textId="77777777" w:rsidR="0080007E" w:rsidRPr="00BC510C" w:rsidRDefault="00000000">
      <w:pPr>
        <w:pStyle w:val="Heading2"/>
        <w:rPr>
          <w:noProof/>
        </w:rPr>
      </w:pPr>
      <w:bookmarkStart w:id="16" w:name="_Toc237932410"/>
      <w:r>
        <w:rPr>
          <w:noProof/>
        </w:rPr>
        <w:t>5.4 โครงการธุรกิจสถานีอัดประจุยานยนต์ไฟฟ้า (EV Charging Station)</w:t>
      </w:r>
      <w:bookmarkEnd w:id="16"/>
    </w:p>
    <w:p w14:paraId="5C2B449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การคาดการณ์การเติบโตของยานยนต์ไฟฟ้ารายพื้นที่ และการวิเคราะห์พฤติกรรมการอัดประจุของผู้ใช้ (Charging Behavior Analysis)</w:t>
      </w:r>
    </w:p>
    <w:p w14:paraId="02F26CA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การวิเคราะห์ทำเลที่ตั้งเชิงยุทธศาสตร์ (Location Analytics) โดยพิจารณาปริมาณการจราจร จุดหมายปลายทาง ระยะเวลาพำนัก และศักยภาพระบบไฟฟ้ารองรับ</w:t>
      </w:r>
    </w:p>
    <w:p w14:paraId="293E434B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การกำหนดสัดส่วนประเภทเครื่องอัดประจุที่เหมาะสม (Charger Mix) ระหว่างเครื่องอัดประจุกระแสสลับและกระแสตรงชนิดชาร์จเร็ว รวมถึงมาตรฐานหัวจ่ายและระบบบริหารจัดการสถานี (CSMS)</w:t>
      </w:r>
    </w:p>
    <w:p w14:paraId="54A84FD1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การวิเคราะห์โครงสร้างต้นทุนค่าไฟฟ้า รวมถึงอัตราค่าไฟฟ้าแบบ Low Priority สำหรับสถานีอัดประจุ</w:t>
      </w:r>
      <w:r>
        <w:rPr>
          <w:rStyle w:val="FootnoteReference"/>
        </w:rPr>
        <w:footnoteReference w:id="10"/>
      </w:r>
      <w:r>
        <w:rPr>
          <w:noProof/>
        </w:rPr>
        <w:t xml:space="preserve"> ค่าความต้องการพลังไฟฟ้า (Demand Charge) และแนวทางบริหารจัดการโหลด</w:t>
      </w:r>
    </w:p>
    <w:p w14:paraId="580ADEEA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การประมาณการอัตราการใช้ประโยชน์ (Utilization Rate) จุดคุ้มทุนรายสถานี และแบบจำลองการขยายเครือข่าย (Network Expansion Model) รวมถึงรูปแบบรายได้เสริมจากบริการที่เกี่ยวเนื่อง</w:t>
      </w:r>
    </w:p>
    <w:p w14:paraId="3416969E" w14:textId="77777777" w:rsidR="0080007E" w:rsidRPr="00BC510C" w:rsidRDefault="00000000">
      <w:r>
        <w:br w:type="page"/>
      </w:r>
    </w:p>
    <w:p w14:paraId="619CFC8B" w14:textId="77777777" w:rsidR="0080007E" w:rsidRPr="00BC510C" w:rsidRDefault="00000000">
      <w:pPr>
        <w:pStyle w:val="Heading1"/>
        <w:rPr>
          <w:noProof/>
        </w:rPr>
      </w:pPr>
      <w:bookmarkStart w:id="17" w:name="_Toc237932411"/>
      <w:r>
        <w:rPr>
          <w:noProof/>
        </w:rPr>
        <w:lastRenderedPageBreak/>
        <w:t>6. ระเบียบวิธีการศึกษา (Methodology)</w:t>
      </w:r>
      <w:bookmarkEnd w:id="17"/>
    </w:p>
    <w:p w14:paraId="5E9155D5" w14:textId="77777777" w:rsidR="0080007E" w:rsidRPr="00BC510C" w:rsidRDefault="00000000">
      <w:pPr>
        <w:pStyle w:val="Heading2"/>
        <w:rPr>
          <w:noProof/>
        </w:rPr>
      </w:pPr>
      <w:bookmarkStart w:id="18" w:name="_Toc237932412"/>
      <w:r>
        <w:rPr>
          <w:noProof/>
        </w:rPr>
        <w:t>6.1 การเก็บรวบรวมข้อมูล</w:t>
      </w:r>
      <w:bookmarkEnd w:id="18"/>
    </w:p>
    <w:p w14:paraId="0896B775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ข้อมูลทุติยภูมิ: การทบทวนวรรณกรรม เอกสารวิชาการ รายงานอุตสาหกรรม สถิติทางการ แผนพลังงานชาติ ประกาศและระเบียบของหน่วยงานกำกับดูแล ตลอดจนฐานข้อมูลรายโครงการที่ตั้งและขึ้นทะเบียนกับหน่วยงานรัฐ ตามโครงสร้างที่กำหนดในภาคผนวก ข</w:t>
      </w:r>
      <w:r>
        <w:rPr>
          <w:rStyle w:val="FootnoteReference"/>
        </w:rPr>
        <w:footnoteReference w:id="11"/>
      </w:r>
    </w:p>
    <w:p w14:paraId="1908A64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ข้อมูลปฐมภูมิ: การสัมภาษณ์เชิงลึกผู้มีส่วนได้ส่วนเสียและผู้เชี่ยวชาญ การสำรวจภาคสนาม การประเมินพื้นที่เป้าหมาย และการหารือกับหน่วยงานที่เกี่ยวข้อง</w:t>
      </w:r>
    </w:p>
    <w:p w14:paraId="7BDF89B1" w14:textId="77777777" w:rsidR="0080007E" w:rsidRPr="00BC510C" w:rsidRDefault="00000000">
      <w:pPr>
        <w:pStyle w:val="Heading2"/>
        <w:rPr>
          <w:noProof/>
        </w:rPr>
      </w:pPr>
      <w:bookmarkStart w:id="19" w:name="_Toc237932413"/>
      <w:r>
        <w:rPr>
          <w:noProof/>
        </w:rPr>
        <w:t>6.2 การวิเคราะห์ข้อมูล</w:t>
      </w:r>
      <w:bookmarkEnd w:id="19"/>
    </w:p>
    <w:p w14:paraId="49B24954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การวิเคราะห์เชิงคุณภาพ: การวิเคราะห์สภาพแวดล้อมภายนอก (PESTEL Analysis) การวิเคราะห์จุดแข็ง จุดอ่อน โอกาส และอุปสรรค (SWOT Analysis) และการวิเคราะห์แรงกดดันเชิงการแข่งขัน (Five Forces Analysis)</w:t>
      </w:r>
    </w:p>
    <w:p w14:paraId="57B4096F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การวิเคราะห์เชิงปริมาณ: แบบจำลองทางการเงินแบบคิดลดกระแสเงินสด (Discounted Cash Flow) การวิเคราะห์ความอ่อนไหว การวิเคราะห์ฉากทัศน์ และการวิเคราะห์จุดคุ้มทุน (Break-even Analysis)</w:t>
      </w:r>
    </w:p>
    <w:p w14:paraId="30DAD313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การจัดลำดับความสำคัญของโครงการด้วยเทคนิคการตัดสินใจแบบหลายหลักเกณฑ์ (Multi-Criteria Decision Analysis: MCDA)</w:t>
      </w:r>
    </w:p>
    <w:p w14:paraId="55E03B05" w14:textId="77777777" w:rsidR="0080007E" w:rsidRPr="00BC510C" w:rsidRDefault="00000000">
      <w:pPr>
        <w:pStyle w:val="Heading2"/>
        <w:rPr>
          <w:noProof/>
        </w:rPr>
      </w:pPr>
      <w:bookmarkStart w:id="20" w:name="_Toc237932414"/>
      <w:r>
        <w:rPr>
          <w:noProof/>
        </w:rPr>
        <w:t>6.3 การประกันคุณภาพของการศึกษา</w:t>
      </w:r>
      <w:bookmarkEnd w:id="20"/>
    </w:p>
    <w:p w14:paraId="164514B9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การตรวจสอบข้อมูลแบบสามเส้า (Data Triangulation) การสอบทานโดยผู้เชี่ยวชาญ (Expert Review) และการนำเสนอผลการศึกษาระหว่างกาลต่อคณะกรรมการกำกับการศึกษาเพื่อรับข้อคิดเห็น</w:t>
      </w:r>
    </w:p>
    <w:p w14:paraId="7338B1E1" w14:textId="77777777" w:rsidR="0080007E" w:rsidRPr="00BC510C" w:rsidRDefault="00000000">
      <w:pPr>
        <w:pStyle w:val="Heading1"/>
        <w:rPr>
          <w:noProof/>
        </w:rPr>
      </w:pPr>
      <w:bookmarkStart w:id="21" w:name="_Toc237932415"/>
      <w:r>
        <w:rPr>
          <w:noProof/>
        </w:rPr>
        <w:t>7. เกณฑ์การประเมินความเป็นไปได้และการตัดสินใจลงทุน</w:t>
      </w:r>
      <w:bookmarkEnd w:id="21"/>
    </w:p>
    <w:p w14:paraId="610CF92D" w14:textId="77777777" w:rsidR="0080007E" w:rsidRPr="00BC510C" w:rsidRDefault="00000000">
      <w:pPr>
        <w:jc w:val="thaiDistribute"/>
      </w:pPr>
      <w:r>
        <w:t>การประเมินความเป็นไปได้ของแต่ละโครงการจะพิจารณาจากเกณฑ์ขั้นต่ำ (Hurdle Criteria) ประกอบด้วย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3"/>
        <w:gridCol w:w="5118"/>
        <w:gridCol w:w="6273"/>
      </w:tblGrid>
      <w:tr w:rsidR="0080007E" w:rsidRPr="00BC510C" w14:paraId="3D86D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17AD" w14:textId="77777777" w:rsidR="0080007E" w:rsidRPr="00BC510C" w:rsidRDefault="00000000">
            <w:r>
              <w:rPr>
                <w:b/>
                <w:bCs/>
              </w:rPr>
              <w:t>เกณฑ์</w:t>
            </w:r>
          </w:p>
        </w:tc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2A00" w14:textId="77777777" w:rsidR="0080007E" w:rsidRPr="00BC510C" w:rsidRDefault="00000000">
            <w:r>
              <w:rPr>
                <w:b/>
                <w:bCs/>
              </w:rPr>
              <w:t>ตัวชี้วัด</w:t>
            </w:r>
          </w:p>
        </w:tc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4042" w14:textId="77777777" w:rsidR="0080007E" w:rsidRPr="00BC510C" w:rsidRDefault="00000000">
            <w:r>
              <w:rPr>
                <w:b/>
                <w:bCs/>
              </w:rPr>
              <w:t>เงื่อนไขผ่านเกณฑ์ (เบื้องต้น)</w:t>
            </w:r>
          </w:p>
        </w:tc>
      </w:tr>
      <w:tr w:rsidR="0080007E" w:rsidRPr="00BC510C" w14:paraId="7F5B63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2A8B" w14:textId="77777777" w:rsidR="0080007E" w:rsidRPr="00BC510C" w:rsidRDefault="00000000">
            <w:r>
              <w:t>ความคุ้มค่าทางการเงิน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0157" w14:textId="77777777" w:rsidR="0080007E" w:rsidRPr="00BC510C" w:rsidRDefault="00000000">
            <w:r>
              <w:t>NPV ณ อัตราคิดลดเท่ากับต้นทุนเงินทุนถัวเฉลี่ยถ่วงน้ำหนัก (WACC)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67B5" w14:textId="77777777" w:rsidR="0080007E" w:rsidRPr="00BC510C" w:rsidRDefault="00000000">
            <w:r>
              <w:t>NPV มีค่าเป็นบวก</w:t>
            </w:r>
          </w:p>
        </w:tc>
      </w:tr>
      <w:tr w:rsidR="0080007E" w:rsidRPr="00BC510C" w14:paraId="70ECD4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EEF5" w14:textId="77777777" w:rsidR="0080007E" w:rsidRPr="00BC510C" w:rsidRDefault="00000000">
            <w:r>
              <w:lastRenderedPageBreak/>
              <w:t>อัตราผลตอบแทน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221D" w14:textId="77777777" w:rsidR="0080007E" w:rsidRPr="00BC510C" w:rsidRDefault="00000000">
            <w:r>
              <w:t>Project IRR / Equity IRR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AF25" w14:textId="77777777" w:rsidR="0080007E" w:rsidRPr="00BC510C" w:rsidRDefault="00000000">
            <w:r>
              <w:t>สูงกว่า WACC และอัตราผลตอบแทนขั้นต่ำที่องค์กรกำหนด (Hurdle Rate)</w:t>
            </w:r>
          </w:p>
        </w:tc>
      </w:tr>
      <w:tr w:rsidR="0080007E" w:rsidRPr="00BC510C" w14:paraId="202C59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7163" w14:textId="77777777" w:rsidR="0080007E" w:rsidRPr="00BC510C" w:rsidRDefault="00000000">
            <w:r>
              <w:t>ความสามารถชำระหนี้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C19A" w14:textId="77777777" w:rsidR="0080007E" w:rsidRPr="00BC510C" w:rsidRDefault="00000000">
            <w:r>
              <w:t>DSCR ขั้นต่ำและถัวเฉลี่ย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F43C" w14:textId="77777777" w:rsidR="0080007E" w:rsidRPr="00BC510C" w:rsidRDefault="00000000">
            <w:r>
              <w:t>ไม่ต่ำกว่าระดับที่สถาบันการเงินกำหนด (โดยทั่วไปไม่ต่ำกว่า 1.2 เท่า)</w:t>
            </w:r>
          </w:p>
        </w:tc>
      </w:tr>
      <w:tr w:rsidR="0080007E" w:rsidRPr="00BC510C" w14:paraId="1705E2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E899" w14:textId="77777777" w:rsidR="0080007E" w:rsidRPr="00BC510C" w:rsidRDefault="00000000">
            <w:r>
              <w:t>ระยะเวลาคืนทุน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2C7E" w14:textId="77777777" w:rsidR="0080007E" w:rsidRPr="00BC510C" w:rsidRDefault="00000000">
            <w:r>
              <w:t>Payback Period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C1BA" w14:textId="77777777" w:rsidR="0080007E" w:rsidRPr="00BC510C" w:rsidRDefault="00000000">
            <w:r>
              <w:t>อยู่ภายในกรอบที่องค์กรยอมรับได้เมื่อเทียบกับอายุโครงการ</w:t>
            </w:r>
          </w:p>
        </w:tc>
      </w:tr>
      <w:tr w:rsidR="0080007E" w:rsidRPr="00BC510C" w14:paraId="364185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7762" w14:textId="77777777" w:rsidR="0080007E" w:rsidRPr="00BC510C" w:rsidRDefault="00000000">
            <w:r>
              <w:t>ความเป็นไปได้เชิงเทคนิค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C50A" w14:textId="77777777" w:rsidR="0080007E" w:rsidRPr="00BC510C" w:rsidRDefault="00000000">
            <w:r>
              <w:t>ความพร้อมของเทคโนโลยี ที่ตั้ง และการเชื่อมต่อระบบ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F3B1" w14:textId="77777777" w:rsidR="0080007E" w:rsidRPr="00BC510C" w:rsidRDefault="00000000">
            <w:r>
              <w:t>ไม่มีข้อจำกัดเชิงเทคนิคที่เป็นสาระสำคัญ</w:t>
            </w:r>
          </w:p>
        </w:tc>
      </w:tr>
      <w:tr w:rsidR="0080007E" w:rsidRPr="00BC510C" w14:paraId="207608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DB6F" w14:textId="77777777" w:rsidR="0080007E" w:rsidRPr="00BC510C" w:rsidRDefault="00000000">
            <w:r>
              <w:t>ความเป็นไปได้เชิงกฎหมาย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E0E8" w14:textId="77777777" w:rsidR="0080007E" w:rsidRPr="00BC510C" w:rsidRDefault="00000000">
            <w:r>
              <w:t>ความครบถ้วนของใบอนุญาตและความสอดคล้องกับกฎระเบียบ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E4DE" w14:textId="77777777" w:rsidR="0080007E" w:rsidRPr="00BC510C" w:rsidRDefault="00000000">
            <w:r>
              <w:t>สามารถขอรับใบอนุญาตได้ภายในกรอบเวลาที่วางแผน</w:t>
            </w:r>
          </w:p>
        </w:tc>
      </w:tr>
      <w:tr w:rsidR="0080007E" w:rsidRPr="00BC510C" w14:paraId="7809C8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910F" w14:textId="77777777" w:rsidR="0080007E" w:rsidRPr="00BC510C" w:rsidRDefault="00000000">
            <w:r>
              <w:t>ความยั่งยืน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D5DF" w14:textId="77777777" w:rsidR="0080007E" w:rsidRPr="00BC510C" w:rsidRDefault="00000000">
            <w:r>
              <w:t>ผลกระทบสิ่งแวดล้อม-สังคม และการยอมรับของชุมชน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BBBB" w14:textId="77777777" w:rsidR="0080007E" w:rsidRPr="00BC510C" w:rsidRDefault="00000000">
            <w:r>
              <w:t>ผ่านข้อกำหนดด้านสิ่งแวดล้อมและได้รับการยอมรับจากผู้มีส่วนได้ส่วนเสียหลัก</w:t>
            </w:r>
          </w:p>
        </w:tc>
      </w:tr>
    </w:tbl>
    <w:p w14:paraId="2A4E7F1D" w14:textId="77777777" w:rsidR="0080007E" w:rsidRPr="00BC510C" w:rsidRDefault="0080007E">
      <w:pPr>
        <w:jc w:val="thaiDistribute"/>
      </w:pPr>
    </w:p>
    <w:p w14:paraId="206F4425" w14:textId="77777777" w:rsidR="0080007E" w:rsidRPr="00BC510C" w:rsidRDefault="00000000">
      <w:pPr>
        <w:jc w:val="thaiDistribute"/>
      </w:pPr>
      <w:r>
        <w:t>ทั้งนี้ ค่าตัวเลขของเกณฑ์ขั้นต่ำจะได้รับการยืนยันร่วมกับผู้บริหารในขั้นตอนเริ่มต้นการศึกษา (Inception Phase)</w:t>
      </w:r>
    </w:p>
    <w:p w14:paraId="6795F34A" w14:textId="77777777" w:rsidR="0080007E" w:rsidRPr="00BC510C" w:rsidRDefault="00000000">
      <w:pPr>
        <w:pStyle w:val="Heading1"/>
        <w:rPr>
          <w:noProof/>
        </w:rPr>
      </w:pPr>
      <w:bookmarkStart w:id="22" w:name="_Toc237932416"/>
      <w:r>
        <w:rPr>
          <w:noProof/>
        </w:rPr>
        <w:t>8. ผลงานที่ต้องส่งมอบ (Deliverables)</w:t>
      </w:r>
      <w:bookmarkEnd w:id="2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3713"/>
        <w:gridCol w:w="1441"/>
        <w:gridCol w:w="3385"/>
      </w:tblGrid>
      <w:tr w:rsidR="0080007E" w:rsidRPr="00BC510C" w14:paraId="6ED88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5265" w14:textId="77777777" w:rsidR="0080007E" w:rsidRPr="00BC510C" w:rsidRDefault="00000000">
            <w:r>
              <w:rPr>
                <w:b/>
                <w:bCs/>
              </w:rPr>
              <w:t>ลำดับ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D7D6" w14:textId="77777777" w:rsidR="0080007E" w:rsidRPr="00BC510C" w:rsidRDefault="00000000">
            <w:r>
              <w:rPr>
                <w:b/>
                <w:bCs/>
              </w:rPr>
              <w:t>เอกสาร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235A" w14:textId="77777777" w:rsidR="0080007E" w:rsidRPr="00BC510C" w:rsidRDefault="00000000">
            <w:r>
              <w:rPr>
                <w:b/>
                <w:bCs/>
              </w:rPr>
              <w:t>ภาษา</w:t>
            </w:r>
          </w:p>
        </w:tc>
        <w:tc>
          <w:tcPr>
            <w:tcW w:w="3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2225" w14:textId="77777777" w:rsidR="0080007E" w:rsidRPr="00BC510C" w:rsidRDefault="00000000">
            <w:r>
              <w:rPr>
                <w:b/>
                <w:bCs/>
              </w:rPr>
              <w:t>สาระสำคัญ</w:t>
            </w:r>
          </w:p>
        </w:tc>
      </w:tr>
      <w:tr w:rsidR="0080007E" w:rsidRPr="00BC510C" w14:paraId="393193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1261" w14:textId="77777777" w:rsidR="0080007E" w:rsidRPr="00BC510C" w:rsidRDefault="00000000">
            <w: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C61D" w14:textId="77777777" w:rsidR="0080007E" w:rsidRPr="00BC510C" w:rsidRDefault="00000000">
            <w:r>
              <w:t>รายงานขอบเขตของการศึกษา (Inception / TOR Report)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2D31" w14:textId="77777777" w:rsidR="0080007E" w:rsidRPr="00BC510C" w:rsidRDefault="00000000">
            <w:r>
              <w:t>ไทย และอังกฤษ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5E6F" w14:textId="77777777" w:rsidR="0080007E" w:rsidRPr="00BC510C" w:rsidRDefault="00000000">
            <w:r>
              <w:t>หลักการและเหตุผล วัตถุประสงค์ ขอบเขตการศึกษา ระเบียบวิธี เกณฑ์การประเมิน แผนงานและกำหนดเวลา</w:t>
            </w:r>
          </w:p>
        </w:tc>
      </w:tr>
      <w:tr w:rsidR="0080007E" w:rsidRPr="00BC510C" w14:paraId="000CF7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7026" w14:textId="77777777" w:rsidR="0080007E" w:rsidRPr="00BC510C" w:rsidRDefault="00000000">
            <w:r>
              <w:t>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392C" w14:textId="77777777" w:rsidR="0080007E" w:rsidRPr="00BC510C" w:rsidRDefault="00000000">
            <w:r>
              <w:t>รายงานการศึกษาความเป็นไปได้ฉบับสมบูรณ์ (Final Feasibility Study Report)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1EE1" w14:textId="77777777" w:rsidR="0080007E" w:rsidRPr="00BC510C" w:rsidRDefault="00000000">
            <w:r>
              <w:t>ไทย และอังกฤษ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8C09" w14:textId="77777777" w:rsidR="0080007E" w:rsidRPr="00BC510C" w:rsidRDefault="00000000">
            <w:r>
              <w:t>ผลการศึกษาครบทั้ง 7 มิติ รายโครงการทั้ง 4 ประเภท ผลการเปรียบเทียบและจัดลำดับ ข้อเสนอแนะเชิงกลยุทธ์ และแผนดำเนินงาน พร้อมบทสรุปผู้บริหาร</w:t>
            </w:r>
          </w:p>
        </w:tc>
      </w:tr>
    </w:tbl>
    <w:p w14:paraId="0C71A03B" w14:textId="77777777" w:rsidR="0080007E" w:rsidRPr="00BC510C" w:rsidRDefault="0080007E">
      <w:pPr>
        <w:jc w:val="thaiDistribute"/>
      </w:pPr>
    </w:p>
    <w:p w14:paraId="7E1CB8D8" w14:textId="77777777" w:rsidR="0080007E" w:rsidRPr="00BC510C" w:rsidRDefault="00000000">
      <w:pPr>
        <w:jc w:val="thaiDistribute"/>
      </w:pPr>
      <w:r>
        <w:t>เอกสารทุกฉบับจัดทำด้วยศัพท์ทางวิชาการที่ถูกต้องและสอดคล้องกันระหว่างสองภาษา โดยฉบับภาษาอังกฤษเป็นการเรียบเรียงเชิงวิชาการ (Academic Rendering) มิใช่การแปลตรงตัว</w:t>
      </w:r>
    </w:p>
    <w:p w14:paraId="2EEC33EB" w14:textId="77777777" w:rsidR="0080007E" w:rsidRPr="00BC510C" w:rsidRDefault="00000000">
      <w:pPr>
        <w:pStyle w:val="Heading1"/>
        <w:rPr>
          <w:noProof/>
        </w:rPr>
      </w:pPr>
      <w:bookmarkStart w:id="23" w:name="_Toc237932417"/>
      <w:r>
        <w:rPr>
          <w:noProof/>
        </w:rPr>
        <w:t>9. กรอบระยะเวลาดำเนินการ (Indicative Timeline)</w:t>
      </w:r>
      <w:bookmarkEnd w:id="2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00"/>
      </w:tblGrid>
      <w:tr w:rsidR="0080007E" w:rsidRPr="00BC510C" w14:paraId="738E7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92F7" w14:textId="77777777" w:rsidR="0080007E" w:rsidRPr="00BC510C" w:rsidRDefault="00000000">
            <w:r>
              <w:rPr>
                <w:b/>
                <w:bCs/>
              </w:rPr>
              <w:t>ระยะ</w:t>
            </w:r>
          </w:p>
        </w:tc>
        <w:tc>
          <w:tcPr>
            <w:tcW w:w="4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EA57" w14:textId="77777777" w:rsidR="0080007E" w:rsidRPr="00BC510C" w:rsidRDefault="00000000">
            <w:r>
              <w:rPr>
                <w:b/>
                <w:bCs/>
              </w:rPr>
              <w:t>กิจกรรมหลัก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F8ED" w14:textId="77777777" w:rsidR="0080007E" w:rsidRPr="00BC510C" w:rsidRDefault="00000000">
            <w:r>
              <w:rPr>
                <w:b/>
                <w:bCs/>
              </w:rPr>
              <w:t>ระยะเวลาโดยประมาณ</w:t>
            </w:r>
          </w:p>
        </w:tc>
      </w:tr>
      <w:tr w:rsidR="0080007E" w:rsidRPr="00BC510C" w14:paraId="1BC275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68F4" w14:textId="77777777" w:rsidR="0080007E" w:rsidRPr="00BC510C" w:rsidRDefault="00000000">
            <w:r>
              <w:t>ระยะที่ 1: เริ่มต้นโครงการ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3B9E" w14:textId="77777777" w:rsidR="0080007E" w:rsidRPr="00BC510C" w:rsidRDefault="00000000">
            <w:r>
              <w:t>ประชุมเปิดโครงการ ยืนยันขอบเขตและเกณฑ์การประเมิน ส่งมอบรายงานฉบับที่ 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1A93" w14:textId="77777777" w:rsidR="0080007E" w:rsidRPr="00BC510C" w:rsidRDefault="00000000">
            <w:r>
              <w:t>สัปดาห์ที่ 1–2</w:t>
            </w:r>
          </w:p>
        </w:tc>
      </w:tr>
      <w:tr w:rsidR="0080007E" w:rsidRPr="00BC510C" w14:paraId="0780C9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88D1" w14:textId="77777777" w:rsidR="0080007E" w:rsidRPr="00BC510C" w:rsidRDefault="00000000">
            <w:r>
              <w:t>ระยะที่ 2: เก็บรวบรวมข้อมูล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8502" w14:textId="77777777" w:rsidR="0080007E" w:rsidRPr="00BC510C" w:rsidRDefault="00000000">
            <w:r>
              <w:t>ทบทวนข้อมูลทุติยภูมิ สัมภาษณ์ผู้เชี่ยวชาญ สำรวจภาคสนาม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5159" w14:textId="77777777" w:rsidR="0080007E" w:rsidRPr="00BC510C" w:rsidRDefault="00000000">
            <w:r>
              <w:t>สัปดาห์ที่ 3–8</w:t>
            </w:r>
          </w:p>
        </w:tc>
      </w:tr>
      <w:tr w:rsidR="0080007E" w:rsidRPr="00BC510C" w14:paraId="1B2697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867B" w14:textId="77777777" w:rsidR="0080007E" w:rsidRPr="00BC510C" w:rsidRDefault="00000000">
            <w:r>
              <w:t>ระยะที่ 3: วิเคราะห์รายมิติ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1206" w14:textId="77777777" w:rsidR="0080007E" w:rsidRPr="00BC510C" w:rsidRDefault="00000000">
            <w:r>
              <w:t>วิเคราะห์ตลาด เทคนิค กฎหมาย สิ่งแวดล้อม-สังคม และจัดทำแบบจำลองการเงิน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350A" w14:textId="77777777" w:rsidR="0080007E" w:rsidRPr="00BC510C" w:rsidRDefault="00000000">
            <w:r>
              <w:t>สัปดาห์ที่ 6–14</w:t>
            </w:r>
          </w:p>
        </w:tc>
      </w:tr>
      <w:tr w:rsidR="0080007E" w:rsidRPr="00BC510C" w14:paraId="415FF9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8A6A" w14:textId="77777777" w:rsidR="0080007E" w:rsidRPr="00BC510C" w:rsidRDefault="00000000">
            <w:r>
              <w:t>ระยะที่ 4: สังเคราะห์และเปรียบเทียบ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DCEC" w14:textId="77777777" w:rsidR="0080007E" w:rsidRPr="00BC510C" w:rsidRDefault="00000000">
            <w:r>
              <w:t>ประเมินความเสี่ยง จัดลำดับโครงการ จัดทำข้อเสนอแนะและร่างรายงานฉบับสมบูรณ์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3077" w14:textId="77777777" w:rsidR="0080007E" w:rsidRPr="00BC510C" w:rsidRDefault="00000000">
            <w:r>
              <w:t>สัปดาห์ที่ 14–18</w:t>
            </w:r>
          </w:p>
        </w:tc>
      </w:tr>
      <w:tr w:rsidR="0080007E" w:rsidRPr="00BC510C" w14:paraId="694BCC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277D" w14:textId="77777777" w:rsidR="0080007E" w:rsidRPr="00BC510C" w:rsidRDefault="00000000">
            <w:r>
              <w:t>ระยะที่ 5: ส่งมอบงาน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A85A" w14:textId="77777777" w:rsidR="0080007E" w:rsidRPr="00BC510C" w:rsidRDefault="00000000">
            <w:r>
              <w:t>นำเสนอผลการศึกษา ปรับปรุงตามข้อคิดเห็น ส่งมอบรายงานฉบับที่ 2 สองภาษา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322D" w14:textId="77777777" w:rsidR="0080007E" w:rsidRPr="00BC510C" w:rsidRDefault="00000000">
            <w:r>
              <w:t>สัปดาห์ที่ 18–20</w:t>
            </w:r>
          </w:p>
        </w:tc>
      </w:tr>
    </w:tbl>
    <w:p w14:paraId="1BDE0C2C" w14:textId="77777777" w:rsidR="0080007E" w:rsidRPr="00BC510C" w:rsidRDefault="0080007E">
      <w:pPr>
        <w:jc w:val="thaiDistribute"/>
      </w:pPr>
    </w:p>
    <w:p>
      <w:r>
        <w:br w:type="page"/>
      </w:r>
    </w:p>
    <w:p>
      <w:pPr>
        <w:pStyle w:val="Heading1"/>
      </w:pPr>
      <w:r>
        <w:t>เอกสารอ้างอิง (References)</w:t>
      </w:r>
    </w:p>
    <w:p>
      <w:pPr>
        <w:jc w:val="thaiDistribute"/>
      </w:pPr>
      <w:r>
        <w:t xml:space="preserve">เอกสารและแหล่งข้อมูลต่อไปนี้เป็นเอกสารอ้างอิงหลักที่ใช้ประกอบการจัดทำขอบเขตของการศึกษาฉบับนี้ โดยรายละเอียดการอ้างอิงเฉพาะจุดปรากฏในเชิงอรรถ (footnote) ของหน้าที่เกี่ยวข้อง</w:t>
      </w:r>
    </w:p>
    <w:p>
      <w:pPr>
        <w:ind w:left="567" w:hanging="567"/>
        <w:jc w:val="thaiDistribute"/>
      </w:pPr>
      <w:r>
        <w:t xml:space="preserve">[1] สำนักงานนโยบายและแผนพลังงาน (สนพ.) กระทรวงพลังงาน. แผนพัฒนากำลังผลิตไฟฟ้าของประเทศไทย (Power Development Plan: PDP) และแผนพัฒนาพลังงานทดแทนและพลังงานทางเลือก (Alternative Energy Development Plan: AEDP). เข้าถึงได้จาก https://www.eppo.go.th (สืบค้นเมื่อ 18 สิงหาคม 2569).</w:t>
      </w:r>
    </w:p>
    <w:p>
      <w:pPr>
        <w:ind w:left="567" w:hanging="567"/>
        <w:jc w:val="thaiDistribute"/>
      </w:pPr>
      <w:r>
        <w:t xml:space="preserve">[2] สำนักงานนโยบายและแผนทรัพยากรธรรมชาติและสิ่งแวดล้อม (สผ.). Thailand's Long-Term Low Greenhouse Gas Emission Development Strategy (Revised Version). เสนอต่อกรอบอนุสัญญาสหประชาชาติว่าด้วยการเปลี่ยนแปลงสภาพภูมิอากาศ (UNFCCC), พฤศจิกายน 2565. เข้าถึงได้จาก https://unfccc.int/process-and-meetings/the-paris-agreement/long-term-strategies (สืบค้นเมื่อ 18 สิงหาคม 2569).</w:t>
      </w:r>
    </w:p>
    <w:p>
      <w:pPr>
        <w:ind w:left="567" w:hanging="567"/>
        <w:jc w:val="thaiDistribute"/>
      </w:pPr>
      <w:r>
        <w:t xml:space="preserve">[3] คณะกรรมการนโยบายยานยนต์ไฟฟ้าแห่งชาติ. นโยบาย 30@30 และมาตรการสนับสนุนการใช้ยานยนต์ไฟฟ้า ระยะที่ 2 (EV3.5) พ.ศ. 2567–2570 (มติคณะรัฐมนตรี 19 ธันวาคม 2566).</w:t>
      </w:r>
    </w:p>
    <w:p>
      <w:pPr>
        <w:ind w:left="567" w:hanging="567"/>
        <w:jc w:val="thaiDistribute"/>
      </w:pPr>
      <w:r>
        <w:t xml:space="preserve">[4] สำนักงานคณะกรรมการกำกับกิจการพลังงาน (สำนักงาน กกพ.). ระเบียบและประกาศว่าด้วยการจัดหาไฟฟ้าจากพลังงานหมุนเวียนในรูปแบบ Feed-in Tariff (FiT) ปี 2565–2573. เข้าถึงได้จาก https://www.erc.or.th (สืบค้นเมื่อ 18 สิงหาคม 2569).</w:t>
      </w:r>
    </w:p>
    <w:p>
      <w:pPr>
        <w:ind w:left="567" w:hanging="567"/>
        <w:jc w:val="thaiDistribute"/>
      </w:pPr>
      <w:r>
        <w:t xml:space="preserve">[5] พระราชบัญญัติการประกอบกิจการพลังงาน พ.ศ. 2550. ราชกิจจานุเบกษา เล่ม 124 ตอนที่ 89 ก, 10 ธันวาคม 2550.</w:t>
      </w:r>
    </w:p>
    <w:p>
      <w:pPr>
        <w:ind w:left="567" w:hanging="567"/>
        <w:jc w:val="thaiDistribute"/>
      </w:pPr>
      <w:r>
        <w:t xml:space="preserve">[6] สำนักงานคณะกรรมการส่งเสริมการลงทุน (BOI). ประเภทกิจการที่ให้การส่งเสริมการลงทุน: กิจการผลิตไฟฟ้าจากพลังงานหมุนเวียน และกิจการสถานีอัดประจุไฟฟ้าสำหรับยานยนต์ไฟฟ้า. เข้าถึงได้จาก https://www.boi.go.th (สืบค้นเมื่อ 18 สิงหาคม 2569).</w:t>
      </w:r>
    </w:p>
    <w:p>
      <w:pPr>
        <w:ind w:left="567" w:hanging="567"/>
        <w:jc w:val="thaiDistribute"/>
      </w:pPr>
      <w:r>
        <w:t xml:space="preserve">[7] กระทรวงทรัพยากรธรรมชาติและสิ่งแวดล้อม. ประกาศเรื่อง กำหนดโครงการ กิจการ หรือการดำเนินการ ซึ่งต้องจัดทำรายงานการประเมินผลกระทบสิ่งแวดล้อม ออกตามพระราชบัญญัติส่งเสริมและรักษาคุณภาพสิ่งแวดล้อมแห่งชาติ (ฉบับที่ 2) พ.ศ. 2561.</w:t>
      </w:r>
    </w:p>
    <w:p>
      <w:pPr>
        <w:ind w:left="567" w:hanging="567"/>
        <w:jc w:val="thaiDistribute"/>
      </w:pPr>
      <w:r>
        <w:t xml:space="preserve">[8] สำนักงานคณะกรรมการกำกับกิจการพลังงาน (สำนักงาน กกพ.). มติ กพช. และระเบียบ/ประกาศว่าด้วยการจัดหาไฟฟ้าจากขยะชุมชนและขยะอุตสาหกรรมในรูปแบบ Feed-in Tariff (FiT). เข้าถึงได้จาก https://www.erc.or.th (สืบค้นเมื่อ 18 สิงหาคม 2569).</w:t>
      </w:r>
    </w:p>
    <w:p>
      <w:pPr>
        <w:ind w:left="567" w:hanging="567"/>
        <w:jc w:val="thaiDistribute"/>
      </w:pPr>
      <w:r>
        <w:t xml:space="preserve">[9] สำนักงานนโยบายและแผนพลังงาน (สนพ.). มติคณะกรรมการนโยบายพลังงานแห่งชาติ (กพช.) ครั้งที่ 167 วันที่ 25 มิถุนายน 2567: โครงการนำร่องการซื้อขายไฟฟ้าในรูปแบบ Direct PPA ผ่านการขอใช้บริการระบบโครงข่ายไฟฟ้าแก่บุคคลที่สาม (Third Party Access: TPA) ปริมาณไม่เกิน 2,000 เมกะวัตต์. เข้าถึงได้จาก https://www.eppo.go.th (สืบค้นเมื่อ 18 สิงหาคม 2569).</w:t>
      </w:r>
    </w:p>
    <w:p>
      <w:pPr>
        <w:ind w:left="567" w:hanging="567"/>
        <w:jc w:val="thaiDistribute"/>
      </w:pPr>
      <w:r>
        <w:t xml:space="preserve">[10] การไฟฟ้านครหลวง และการไฟฟ้าส่วนภูมิภาค. ประกาศอัตราค่าไฟฟ้าสำหรับสถานีอัดประจุไฟฟ้าของยานยนต์ไฟฟ้าแบบ Low Priority ตามมติ กพช. และมติ กกพ. เข้าถึงได้จาก https://www.mea.or.th และ https://www.pea.co.th (สืบค้นเมื่อ 18 สิงหาคม 2569).</w:t>
      </w:r>
    </w:p>
    <w:p>
      <w:pPr>
        <w:ind w:left="567" w:hanging="567"/>
        <w:jc w:val="thaiDistribute"/>
      </w:pPr>
      <w:r>
        <w:t xml:space="preserve">[11] กรมโรงงานอุตสาหกรรม. ระบบข้อมูลโรงงาน (ทะเบียนโรงงานและใบอนุญาต รง.4). เข้าถึงได้จาก https://www.diw.go.th (สืบค้นเมื่อ 18 สิงหาคม 2569).</w:t>
      </w:r>
    </w:p>
    <w:p>
      <w:pPr>
        <w:ind w:left="567" w:hanging="567"/>
        <w:jc w:val="thaiDistribute"/>
      </w:pPr>
      <w:r>
        <w:t xml:space="preserve">[12] การไฟฟ้าฝ่ายผลิตแห่งประเทศไทย, การไฟฟ้าส่วนภูมิภาค และการไฟฟ้านครหลวง. ทะเบียนผู้ผลิตไฟฟ้ารายเล็ก (SPP) และรายเล็กมาก (VSPP). เข้าถึงได้จาก https://www.egat.co.th, https://www.pea.co.th และ https://www.mea.or.th (สืบค้นเมื่อ 18 สิงหาคม 2569).</w:t>
      </w:r>
    </w:p>
    <w:p w14:paraId="3085A43D" w14:textId="77777777" w:rsidR="0080007E" w:rsidRPr="00BC510C" w:rsidRDefault="00000000">
      <w:r>
        <w:br w:type="page"/>
      </w:r>
    </w:p>
    <w:p w14:paraId="11FA911A" w14:textId="77777777" w:rsidR="0080007E" w:rsidRPr="00BC510C" w:rsidRDefault="00000000">
      <w:pPr>
        <w:pStyle w:val="Heading1"/>
        <w:rPr>
          <w:noProof/>
        </w:rPr>
      </w:pPr>
      <w:bookmarkStart w:id="24" w:name="_Toc237932418"/>
      <w:r>
        <w:rPr>
          <w:noProof/>
        </w:rPr>
        <w:lastRenderedPageBreak/>
        <w:t>ภาคผนวก ก: โครงสร้างรายงานฉบับสมบูรณ์ (สารบัญที่เสนอ)</w:t>
      </w:r>
      <w:bookmarkEnd w:id="24"/>
    </w:p>
    <w:p w14:paraId="549D5D39" w14:textId="77777777" w:rsidR="0080007E" w:rsidRPr="00BC510C" w:rsidRDefault="00000000">
      <w:pPr>
        <w:jc w:val="thaiDistribute"/>
      </w:pPr>
      <w:r>
        <w:t>รายงานการศึกษาความเป็นไปได้ฉบับสมบูรณ์ (เอกสารฉบับที่ 2) จะจัดทำตามโครงสร้างต่อไปนี้ ทั้งเล่มภาษาไทยและภาษาอังกฤษ</w:t>
      </w:r>
    </w:p>
    <w:p w14:paraId="340E3830" w14:textId="77777777" w:rsidR="0080007E" w:rsidRPr="00BC510C" w:rsidRDefault="00000000">
      <w:pPr>
        <w:pStyle w:val="Heading3"/>
        <w:rPr>
          <w:noProof/>
        </w:rPr>
      </w:pPr>
      <w:r>
        <w:rPr>
          <w:noProof/>
        </w:rPr>
        <w:t>ส่วนที่ 1: บทนำ</w:t>
      </w:r>
    </w:p>
    <w:p w14:paraId="208E532B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บทสรุปผู้บริหาร (Executive Summary)</w:t>
      </w:r>
    </w:p>
    <w:p w14:paraId="0F196846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1 บทนำ: ความเป็นมา วัตถุประสงค์ ขอบเขต และระเบียบวิธีการศึกษา</w:t>
      </w:r>
    </w:p>
    <w:p w14:paraId="5CC1FC20" w14:textId="77777777" w:rsidR="0080007E" w:rsidRPr="00BC510C" w:rsidRDefault="00000000">
      <w:pPr>
        <w:pStyle w:val="Heading3"/>
        <w:rPr>
          <w:noProof/>
        </w:rPr>
      </w:pPr>
      <w:r>
        <w:rPr>
          <w:noProof/>
        </w:rPr>
        <w:t>ส่วนที่ 2: การวิเคราะห์บริบท</w:t>
      </w:r>
    </w:p>
    <w:p w14:paraId="18F24865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2 บริบทนโยบายพลังงานและกรอบกฎระเบียบของประเทศไทย</w:t>
      </w:r>
    </w:p>
    <w:p w14:paraId="21D00C55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3 การวิเคราะห์ตลาดพลังงานหมุนเวียนและระบบนิเวศยานยนต์ไฟฟ้า</w:t>
      </w:r>
    </w:p>
    <w:p w14:paraId="4575D0DA" w14:textId="77777777" w:rsidR="0080007E" w:rsidRPr="00BC510C" w:rsidRDefault="00000000">
      <w:pPr>
        <w:pStyle w:val="Heading3"/>
        <w:rPr>
          <w:noProof/>
        </w:rPr>
      </w:pPr>
      <w:r>
        <w:rPr>
          <w:noProof/>
        </w:rPr>
        <w:t>ส่วนที่ 3: การศึกษาความเป็นไปได้รายโครงการ (บทที่ 4–7)</w:t>
      </w:r>
    </w:p>
    <w:p w14:paraId="53DA08F8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4 โรงไฟฟ้าชีวมวล / บทที่ 5 โรงไฟฟ้าพลังงานขยะ / บทที่ 6 ผู้ลงทุน Private PPA Solar / บทที่ 7 ธุรกิจสถานีอัดประจุยานยนต์ไฟฟ้า</w:t>
      </w:r>
    </w:p>
    <w:p w14:paraId="6E9700C3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แต่ละบทประกอบด้วยหัวข้อย่อยมาตรฐาน: การวิเคราะห์ตลาด ความเป็นไปได้เชิงเทคนิค กฎหมายและใบอนุญาต สิ่งแวดล้อมและสังคม การวิเคราะห์ทางการเงิน (CAPEX, OPEX, NPV, IRR, DSCR, Payback, Sensitivity) การประเมินความเสี่ยง และข้อสรุปความเป็นไปได้</w:t>
      </w:r>
    </w:p>
    <w:p w14:paraId="32051D8B" w14:textId="77777777" w:rsidR="0080007E" w:rsidRPr="00BC510C" w:rsidRDefault="00000000">
      <w:pPr>
        <w:pStyle w:val="Heading3"/>
        <w:rPr>
          <w:noProof/>
        </w:rPr>
      </w:pPr>
      <w:r>
        <w:rPr>
          <w:noProof/>
        </w:rPr>
        <w:t>ส่วนที่ 4: การสังเคราะห์และข้อเสนอแนะ</w:t>
      </w:r>
    </w:p>
    <w:p w14:paraId="094B3C22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8 การวิเคราะห์เปรียบเทียบและการจัดลำดับความสำคัญของโครงการด้วย MCDA</w:t>
      </w:r>
    </w:p>
    <w:p w14:paraId="264EA7A4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9 กลยุทธ์การลงทุน โครงสร้างเงินทุน และแผนดำเนินงาน (Implementation Roadmap)</w:t>
      </w:r>
    </w:p>
    <w:p w14:paraId="3281F667" w14:textId="77777777" w:rsidR="0080007E" w:rsidRPr="00BC510C" w:rsidRDefault="0000000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บทที่ 10 บทสรุปและข้อเสนอแนะ</w:t>
      </w:r>
    </w:p>
    <w:p w14:paraId="3ED68D42" w14:textId="77777777" w:rsidR="0080007E" w:rsidRPr="00BC510C" w:rsidRDefault="00000000">
      <w:pPr>
        <w:pStyle w:val="Heading3"/>
        <w:rPr>
          <w:noProof/>
        </w:rPr>
      </w:pPr>
      <w:r>
        <w:rPr>
          <w:noProof/>
        </w:rPr>
        <w:t>ส่วนที่ 5: ภาคผนวก</w:t>
      </w:r>
    </w:p>
    <w:p w14:paraId="47F5ED86" w14:textId="77777777" w:rsidR="0080007E" w:rsidRDefault="00000000">
      <w:pPr>
        <w:pStyle w:val="ListParagraph"/>
        <w:numPr>
          <w:ilvl w:val="0"/>
          <w:numId w:val="2"/>
        </w:numPr>
      </w:pPr>
      <w:r>
        <w:rPr>
          <w:noProof/>
        </w:rPr>
        <w:t>สมมติฐานแบบจำลองการเงินโดยละเอียด ทะเบียนความเสี่ยง แผนผังใบอนุญาต รายการเอกสารอ้างอิง และอภิธานศัพท์ (Glossary) ไทย–อังกฤษ</w:t>
      </w:r>
    </w:p>
    <w:p>
      <w:r>
        <w:br w:type="page"/>
      </w:r>
    </w:p>
    <w:p>
      <w:pPr>
        <w:pStyle w:val="Heading1"/>
      </w:pPr>
      <w:r>
        <w:t>ภาคผนวก ข: โครงสร้างฐานข้อมูลโครงการที่ตั้งและขึ้นทะเบียนกับหน่วยงานรัฐ</w:t>
      </w:r>
    </w:p>
    <w:p>
      <w:pPr>
        <w:jc w:val="thaiDistribute"/>
      </w:pPr>
      <w:r>
        <w:t xml:space="preserve">ฐานข้อมูลรายโครงการตามภาคผนวกนี้เป็นข้อมูลนำเข้าสำคัญของการศึกษาความเป็นไปได้รายโครงการ ใช้ประกอบการวิเคราะห์ตลาดและคู่แข่งขัน การคัดเลือกที่ตั้ง การเทียบเคียงต้นทุนและอัตรารับซื้อ และการประเมินความหนาแน่นของโครงการเชิงพื้นที่ โดยจัดเก็บฉบับเต็มเป็นไฟล์อิเล็กทรอนิกส์ (แม่แบบตารางตามที่แนบท้ายการศึกษา) และนำเสนอในเล่มรายงานเฉพาะตารางสรุปผลการวิเคราะห์</w:t>
      </w:r>
    </w:p>
    <w:p>
      <w:pPr>
        <w:pStyle w:val="Heading2"/>
      </w:pPr>
      <w:r>
        <w:t xml:space="preserve">ข.0 โครงสร้างข้อมูลร่วม (ใช้กับทุกชุดข้อมูล)</w:t>
      </w:r>
    </w:p>
    <w:p>
      <w:pPr>
        <w:pStyle w:val="ListParagraph"/>
        <w:numPr>
          <w:ilvl w:val="0"/>
          <w:numId w:val="2"/>
        </w:numPr>
      </w:pPr>
      <w:r>
        <w:t xml:space="preserve">รหัสโครงการ</w:t>
      </w:r>
    </w:p>
    <w:p>
      <w:pPr>
        <w:pStyle w:val="ListParagraph"/>
        <w:numPr>
          <w:ilvl w:val="0"/>
          <w:numId w:val="2"/>
        </w:numPr>
      </w:pPr>
      <w:r>
        <w:t xml:space="preserve">ชื่อโครงการ</w:t>
      </w:r>
    </w:p>
    <w:p>
      <w:pPr>
        <w:pStyle w:val="ListParagraph"/>
        <w:numPr>
          <w:ilvl w:val="0"/>
          <w:numId w:val="2"/>
        </w:numPr>
      </w:pPr>
      <w:r>
        <w:t xml:space="preserve">ผู้ประกอบการ (นิติบุคคล)</w:t>
      </w:r>
    </w:p>
    <w:p>
      <w:pPr>
        <w:pStyle w:val="ListParagraph"/>
        <w:numPr>
          <w:ilvl w:val="0"/>
          <w:numId w:val="2"/>
        </w:numPr>
      </w:pPr>
      <w:r>
        <w:t xml:space="preserve">เลขทะเบียนนิติบุคคล</w:t>
      </w:r>
    </w:p>
    <w:p>
      <w:pPr>
        <w:pStyle w:val="ListParagraph"/>
        <w:numPr>
          <w:ilvl w:val="0"/>
          <w:numId w:val="2"/>
        </w:numPr>
      </w:pPr>
      <w:r>
        <w:t xml:space="preserve">ที่ตั้ง (ตำบล / อำเภอ / จังหวัด)</w:t>
      </w:r>
    </w:p>
    <w:p>
      <w:pPr>
        <w:pStyle w:val="ListParagraph"/>
        <w:numPr>
          <w:ilvl w:val="0"/>
          <w:numId w:val="2"/>
        </w:numPr>
      </w:pPr>
      <w:r>
        <w:t xml:space="preserve">พิกัดภูมิศาสตร์ (ละติจูด, ลองจิจูด)</w:t>
      </w:r>
    </w:p>
    <w:p>
      <w:pPr>
        <w:pStyle w:val="ListParagraph"/>
        <w:numPr>
          <w:ilvl w:val="0"/>
          <w:numId w:val="2"/>
        </w:numPr>
      </w:pPr>
      <w:r>
        <w:t xml:space="preserve">สถานะโครงการ (พัฒนา / ก่อสร้าง / COD / หยุดดำเนินการ)</w:t>
      </w:r>
    </w:p>
    <w:p>
      <w:pPr>
        <w:pStyle w:val="ListParagraph"/>
        <w:numPr>
          <w:ilvl w:val="0"/>
          <w:numId w:val="2"/>
        </w:numPr>
      </w:pPr>
      <w:r>
        <w:t xml:space="preserve">หน่วยงานที่ขึ้นทะเบียนและประเภทใบอนุญาต</w:t>
      </w:r>
    </w:p>
    <w:p>
      <w:pPr>
        <w:pStyle w:val="ListParagraph"/>
        <w:numPr>
          <w:ilvl w:val="0"/>
          <w:numId w:val="2"/>
        </w:numPr>
      </w:pPr>
      <w:r>
        <w:t xml:space="preserve">เลขที่ใบอนุญาต</w:t>
      </w:r>
    </w:p>
    <w:p>
      <w:pPr>
        <w:pStyle w:val="ListParagraph"/>
        <w:numPr>
          <w:ilvl w:val="0"/>
          <w:numId w:val="2"/>
        </w:numPr>
      </w:pPr>
      <w:r>
        <w:t xml:space="preserve">วันที่ออกและวันหมดอายุใบอนุญาต</w:t>
      </w:r>
    </w:p>
    <w:p>
      <w:pPr>
        <w:pStyle w:val="ListParagraph"/>
        <w:numPr>
          <w:ilvl w:val="0"/>
          <w:numId w:val="2"/>
        </w:numPr>
      </w:pPr>
      <w:r>
        <w:t xml:space="preserve">สิทธิประโยชน์ BOI (ถ้ามี)</w:t>
      </w:r>
    </w:p>
    <w:p>
      <w:pPr>
        <w:pStyle w:val="ListParagraph"/>
        <w:numPr>
          <w:ilvl w:val="0"/>
          <w:numId w:val="2"/>
        </w:numPr>
      </w:pPr>
      <w:r>
        <w:t xml:space="preserve">วันที่ปรับปรุงข้อมูลล่าสุด</w:t>
      </w:r>
    </w:p>
    <w:p>
      <w:pPr>
        <w:pStyle w:val="ListParagraph"/>
        <w:numPr>
          <w:ilvl w:val="0"/>
          <w:numId w:val="2"/>
        </w:numPr>
      </w:pPr>
      <w:r>
        <w:t xml:space="preserve">แหล่งที่มาของข้อมูล (URL / เอกสาร)</w:t>
      </w:r>
    </w:p>
    <w:p>
      <w:pPr>
        <w:pStyle w:val="ListParagraph"/>
        <w:numPr>
          <w:ilvl w:val="0"/>
          <w:numId w:val="2"/>
        </w:numPr>
      </w:pPr>
      <w:r>
        <w:t xml:space="preserve">หมายเหตุ</w:t>
      </w:r>
    </w:p>
    <w:p>
      <w:pPr>
        <w:pStyle w:val="Heading2"/>
      </w:pPr>
      <w:r>
        <w:t xml:space="preserve">ข.1 ชุดข้อมูลโครงการโรงไฟฟ้าชีวมวล</w:t>
      </w:r>
    </w:p>
    <w:p>
      <w:pPr>
        <w:pStyle w:val="ListParagraph"/>
        <w:numPr>
          <w:ilvl w:val="0"/>
          <w:numId w:val="2"/>
        </w:numPr>
      </w:pPr>
      <w:r>
        <w:t xml:space="preserve">กำลังผลิตติดตั้ง (เมกะวัตต์)</w:t>
      </w:r>
    </w:p>
    <w:p>
      <w:pPr>
        <w:pStyle w:val="ListParagraph"/>
        <w:numPr>
          <w:ilvl w:val="0"/>
          <w:numId w:val="2"/>
        </w:numPr>
      </w:pPr>
      <w:r>
        <w:t xml:space="preserve">ปริมาณพลังไฟฟ้าเสนอขายตามสัญญา (เมกะวัตต์)</w:t>
      </w:r>
    </w:p>
    <w:p>
      <w:pPr>
        <w:pStyle w:val="ListParagraph"/>
        <w:numPr>
          <w:ilvl w:val="0"/>
          <w:numId w:val="2"/>
        </w:numPr>
      </w:pPr>
      <w:r>
        <w:t xml:space="preserve">เทคโนโลยี (เผาไหม้โดยตรง / สโตกเกอร์ / ฟลูอิไดซ์เบด / แก๊สซิฟิเคชัน)</w:t>
      </w:r>
    </w:p>
    <w:p>
      <w:pPr>
        <w:pStyle w:val="ListParagraph"/>
        <w:numPr>
          <w:ilvl w:val="0"/>
          <w:numId w:val="2"/>
        </w:numPr>
      </w:pPr>
      <w:r>
        <w:t xml:space="preserve">ชนิดเชื้อเพลิงชีวมวลหลักและรอง</w:t>
      </w:r>
    </w:p>
    <w:p>
      <w:pPr>
        <w:pStyle w:val="ListParagraph"/>
        <w:numPr>
          <w:ilvl w:val="0"/>
          <w:numId w:val="2"/>
        </w:numPr>
      </w:pPr>
      <w:r>
        <w:t xml:space="preserve">ปริมาณการใช้เชื้อเพลิงต่อปี (ตัน)</w:t>
      </w:r>
    </w:p>
    <w:p>
      <w:pPr>
        <w:pStyle w:val="ListParagraph"/>
        <w:numPr>
          <w:ilvl w:val="0"/>
          <w:numId w:val="2"/>
        </w:numPr>
      </w:pPr>
      <w:r>
        <w:t xml:space="preserve">ค่าความร้อนเชื้อเพลิงเฉลี่ย (เมกะจูล/กิโลกรัม)</w:t>
      </w:r>
    </w:p>
    <w:p>
      <w:pPr>
        <w:pStyle w:val="ListParagraph"/>
        <w:numPr>
          <w:ilvl w:val="0"/>
          <w:numId w:val="2"/>
        </w:numPr>
      </w:pPr>
      <w:r>
        <w:t xml:space="preserve">รูปแบบสัญญาซื้อขายไฟฟ้า (FiT / Adder / สัญญาทวิภาคี)</w:t>
      </w:r>
    </w:p>
    <w:p>
      <w:pPr>
        <w:pStyle w:val="ListParagraph"/>
        <w:numPr>
          <w:ilvl w:val="0"/>
          <w:numId w:val="2"/>
        </w:numPr>
      </w:pPr>
      <w:r>
        <w:t xml:space="preserve">อัตรารับซื้อไฟฟ้า (บาท/หน่วย)</w:t>
      </w:r>
    </w:p>
    <w:p>
      <w:pPr>
        <w:pStyle w:val="ListParagraph"/>
        <w:numPr>
          <w:ilvl w:val="0"/>
          <w:numId w:val="2"/>
        </w:numPr>
      </w:pPr>
      <w:r>
        <w:t xml:space="preserve">คู่สัญญารับซื้อไฟฟ้า (กฟผ. / กฟภ. / กฟน. / เอกชน)</w:t>
      </w:r>
    </w:p>
    <w:p>
      <w:pPr>
        <w:pStyle w:val="ListParagraph"/>
        <w:numPr>
          <w:ilvl w:val="0"/>
          <w:numId w:val="2"/>
        </w:numPr>
      </w:pPr>
      <w:r>
        <w:t xml:space="preserve">วันที่จ่ายไฟฟ้าเข้าระบบเชิงพาณิชย์ (COD)</w:t>
      </w:r>
    </w:p>
    <w:p>
      <w:pPr>
        <w:pStyle w:val="Heading2"/>
      </w:pPr>
      <w:r>
        <w:t xml:space="preserve">ข.2 ชุดข้อมูลโครงการโรงไฟฟ้าพลังงานขยะ</w:t>
      </w:r>
    </w:p>
    <w:p>
      <w:pPr>
        <w:pStyle w:val="ListParagraph"/>
        <w:numPr>
          <w:ilvl w:val="0"/>
          <w:numId w:val="2"/>
        </w:numPr>
      </w:pPr>
      <w:r>
        <w:t xml:space="preserve">กำลังผลิตติดตั้ง (เมกะวัตต์)</w:t>
      </w:r>
    </w:p>
    <w:p>
      <w:pPr>
        <w:pStyle w:val="ListParagraph"/>
        <w:numPr>
          <w:ilvl w:val="0"/>
          <w:numId w:val="2"/>
        </w:numPr>
      </w:pPr>
      <w:r>
        <w:t xml:space="preserve">เทคโนโลยี (ตะกรับเคลื่อนที่ / RDF / แก๊สซิฟิเคชัน / หมักย่อยไร้อากาศ)</w:t>
      </w:r>
    </w:p>
    <w:p>
      <w:pPr>
        <w:pStyle w:val="ListParagraph"/>
        <w:numPr>
          <w:ilvl w:val="0"/>
          <w:numId w:val="2"/>
        </w:numPr>
      </w:pPr>
      <w:r>
        <w:t xml:space="preserve">ปริมาณขยะเข้าระบบ (ตัน/วัน)</w:t>
      </w:r>
    </w:p>
    <w:p>
      <w:pPr>
        <w:pStyle w:val="ListParagraph"/>
        <w:numPr>
          <w:ilvl w:val="0"/>
          <w:numId w:val="2"/>
        </w:numPr>
      </w:pPr>
      <w:r>
        <w:t xml:space="preserve">องค์กรปกครองส่วนท้องถิ่นคู่สัญญา</w:t>
      </w:r>
    </w:p>
    <w:p>
      <w:pPr>
        <w:pStyle w:val="ListParagraph"/>
        <w:numPr>
          <w:ilvl w:val="0"/>
          <w:numId w:val="2"/>
        </w:numPr>
      </w:pPr>
      <w:r>
        <w:t xml:space="preserve">รูปแบบความร่วมมือรัฐ-เอกชน (PPP)</w:t>
      </w:r>
    </w:p>
    <w:p>
      <w:pPr>
        <w:pStyle w:val="ListParagraph"/>
        <w:numPr>
          <w:ilvl w:val="0"/>
          <w:numId w:val="2"/>
        </w:numPr>
      </w:pPr>
      <w:r>
        <w:t xml:space="preserve">ค่ากำจัดขยะ Tipping Fee (บาท/ตัน)</w:t>
      </w:r>
    </w:p>
    <w:p>
      <w:pPr>
        <w:pStyle w:val="ListParagraph"/>
        <w:numPr>
          <w:ilvl w:val="0"/>
          <w:numId w:val="2"/>
        </w:numPr>
      </w:pPr>
      <w:r>
        <w:t xml:space="preserve">อัตรารับซื้อไฟฟ้า FiT (บาท/หน่วย)</w:t>
      </w:r>
    </w:p>
    <w:p>
      <w:pPr>
        <w:pStyle w:val="ListParagraph"/>
        <w:numPr>
          <w:ilvl w:val="0"/>
          <w:numId w:val="2"/>
        </w:numPr>
      </w:pPr>
      <w:r>
        <w:t xml:space="preserve">สถานะ EIA / CoP</w:t>
      </w:r>
    </w:p>
    <w:p>
      <w:pPr>
        <w:pStyle w:val="ListParagraph"/>
        <w:numPr>
          <w:ilvl w:val="0"/>
          <w:numId w:val="2"/>
        </w:numPr>
      </w:pPr>
      <w:r>
        <w:t xml:space="preserve">วันที่จ่ายไฟฟ้าเข้าระบบเชิงพาณิชย์ (COD)</w:t>
      </w:r>
    </w:p>
    <w:p>
      <w:pPr>
        <w:pStyle w:val="Heading2"/>
      </w:pPr>
      <w:r>
        <w:t xml:space="preserve">ข.3 ชุดข้อมูลโครงการ Private PPA Solar</w:t>
      </w:r>
    </w:p>
    <w:p>
      <w:pPr>
        <w:pStyle w:val="ListParagraph"/>
        <w:numPr>
          <w:ilvl w:val="0"/>
          <w:numId w:val="2"/>
        </w:numPr>
      </w:pPr>
      <w:r>
        <w:t xml:space="preserve">ผู้รับซื้อไฟฟ้า (Off-taker) และประเภทธุรกิจ</w:t>
      </w:r>
    </w:p>
    <w:p>
      <w:pPr>
        <w:pStyle w:val="ListParagraph"/>
        <w:numPr>
          <w:ilvl w:val="0"/>
          <w:numId w:val="2"/>
        </w:numPr>
      </w:pPr>
      <w:r>
        <w:t xml:space="preserve">ประเภทการติดตั้ง (บนหลังคา / บนพื้นดิน / ลอยน้ำ)</w:t>
      </w:r>
    </w:p>
    <w:p>
      <w:pPr>
        <w:pStyle w:val="ListParagraph"/>
        <w:numPr>
          <w:ilvl w:val="0"/>
          <w:numId w:val="2"/>
        </w:numPr>
      </w:pPr>
      <w:r>
        <w:t xml:space="preserve">ขนาดติดตั้ง (กิโลวัตต์สูงสุด / เมกะวัตต์)</w:t>
      </w:r>
    </w:p>
    <w:p>
      <w:pPr>
        <w:pStyle w:val="ListParagraph"/>
        <w:numPr>
          <w:ilvl w:val="0"/>
          <w:numId w:val="2"/>
        </w:numPr>
      </w:pPr>
      <w:r>
        <w:t xml:space="preserve">รูปแบบสัญญา (Private PPA / เช่าระบบ / EPC)</w:t>
      </w:r>
    </w:p>
    <w:p>
      <w:pPr>
        <w:pStyle w:val="ListParagraph"/>
        <w:numPr>
          <w:ilvl w:val="0"/>
          <w:numId w:val="2"/>
        </w:numPr>
      </w:pPr>
      <w:r>
        <w:t xml:space="preserve">อายุสัญญา (ปี)</w:t>
      </w:r>
    </w:p>
    <w:p>
      <w:pPr>
        <w:pStyle w:val="ListParagraph"/>
        <w:numPr>
          <w:ilvl w:val="0"/>
          <w:numId w:val="2"/>
        </w:numPr>
      </w:pPr>
      <w:r>
        <w:t xml:space="preserve">โครงสร้างราคา (ส่วนลดจากอัตราการไฟฟ้า ร้อยละ)</w:t>
      </w:r>
    </w:p>
    <w:p>
      <w:pPr>
        <w:pStyle w:val="ListParagraph"/>
        <w:numPr>
          <w:ilvl w:val="0"/>
          <w:numId w:val="2"/>
        </w:numPr>
      </w:pPr>
      <w:r>
        <w:t xml:space="preserve">สัดส่วนการใช้ไฟฟ้าเอง (ร้อยละ)</w:t>
      </w:r>
    </w:p>
    <w:p>
      <w:pPr>
        <w:pStyle w:val="ListParagraph"/>
        <w:numPr>
          <w:ilvl w:val="0"/>
          <w:numId w:val="2"/>
        </w:numPr>
      </w:pPr>
      <w:r>
        <w:t xml:space="preserve">ระบบกักเก็บพลังงาน BESS (มี / ไม่มี, ขนาด)</w:t>
      </w:r>
    </w:p>
    <w:p>
      <w:pPr>
        <w:pStyle w:val="ListParagraph"/>
        <w:numPr>
          <w:ilvl w:val="0"/>
          <w:numId w:val="2"/>
        </w:numPr>
      </w:pPr>
      <w:r>
        <w:t xml:space="preserve">วันที่เริ่มจ่ายไฟฟ้า (COD)</w:t>
      </w:r>
    </w:p>
    <w:p>
      <w:pPr>
        <w:pStyle w:val="Heading2"/>
      </w:pPr>
      <w:r>
        <w:t xml:space="preserve">ข.4 ชุดข้อมูลสถานีอัดประจุยานยนต์ไฟฟ้า</w:t>
      </w:r>
    </w:p>
    <w:p>
      <w:pPr>
        <w:pStyle w:val="ListParagraph"/>
        <w:numPr>
          <w:ilvl w:val="0"/>
          <w:numId w:val="2"/>
        </w:numPr>
      </w:pPr>
      <w:r>
        <w:t xml:space="preserve">ผู้ให้บริการ / แบรนด์</w:t>
      </w:r>
    </w:p>
    <w:p>
      <w:pPr>
        <w:pStyle w:val="ListParagraph"/>
        <w:numPr>
          <w:ilvl w:val="0"/>
          <w:numId w:val="2"/>
        </w:numPr>
      </w:pPr>
      <w:r>
        <w:t xml:space="preserve">ประเภทที่ตั้ง (สถานีบริการน้ำมัน / ศูนย์การค้า / อาคารสำนักงาน / ทางหลวง / อื่น ๆ)</w:t>
      </w:r>
    </w:p>
    <w:p>
      <w:pPr>
        <w:pStyle w:val="ListParagraph"/>
        <w:numPr>
          <w:ilvl w:val="0"/>
          <w:numId w:val="2"/>
        </w:numPr>
      </w:pPr>
      <w:r>
        <w:t xml:space="preserve">จำนวนหัวจ่ายกระแสสลับ (AC)</w:t>
      </w:r>
    </w:p>
    <w:p>
      <w:pPr>
        <w:pStyle w:val="ListParagraph"/>
        <w:numPr>
          <w:ilvl w:val="0"/>
          <w:numId w:val="2"/>
        </w:numPr>
      </w:pPr>
      <w:r>
        <w:t xml:space="preserve">จำนวนหัวจ่ายกระแสตรง (DC)</w:t>
      </w:r>
    </w:p>
    <w:p>
      <w:pPr>
        <w:pStyle w:val="ListParagraph"/>
        <w:numPr>
          <w:ilvl w:val="0"/>
          <w:numId w:val="2"/>
        </w:numPr>
      </w:pPr>
      <w:r>
        <w:t xml:space="preserve">กำลังไฟฟ้าสูงสุดต่อหัวจ่าย (กิโลวัตต์)</w:t>
      </w:r>
    </w:p>
    <w:p>
      <w:pPr>
        <w:pStyle w:val="ListParagraph"/>
        <w:numPr>
          <w:ilvl w:val="0"/>
          <w:numId w:val="2"/>
        </w:numPr>
      </w:pPr>
      <w:r>
        <w:t xml:space="preserve">มาตรฐานหัวจ่าย (Type 2 / CCS2 / CHAdeMO)</w:t>
      </w:r>
    </w:p>
    <w:p>
      <w:pPr>
        <w:pStyle w:val="ListParagraph"/>
        <w:numPr>
          <w:ilvl w:val="0"/>
          <w:numId w:val="2"/>
        </w:numPr>
      </w:pPr>
      <w:r>
        <w:t xml:space="preserve">ระบบบริหารจัดการสถานี (CSMS) / แพลตฟอร์ม</w:t>
      </w:r>
    </w:p>
    <w:p>
      <w:pPr>
        <w:pStyle w:val="ListParagraph"/>
        <w:numPr>
          <w:ilvl w:val="0"/>
          <w:numId w:val="2"/>
        </w:numPr>
      </w:pPr>
      <w:r>
        <w:t xml:space="preserve">อัตราค่าบริการอัดประจุ (บาท/หน่วย)</w:t>
      </w:r>
    </w:p>
    <w:p>
      <w:pPr>
        <w:pStyle w:val="ListParagraph"/>
        <w:numPr>
          <w:ilvl w:val="0"/>
          <w:numId w:val="2"/>
        </w:numPr>
      </w:pPr>
      <w:r>
        <w:t xml:space="preserve">การใช้มิเตอร์อัตรา Low Priority (ใช่ / ไม่ใช่)</w:t>
      </w:r>
    </w:p>
    <w:p>
      <w:pPr>
        <w:pStyle w:val="ListParagraph"/>
        <w:numPr>
          <w:ilvl w:val="0"/>
          <w:numId w:val="2"/>
        </w:numPr>
      </w:pPr>
      <w:r>
        <w:t xml:space="preserve">วันที่เปิดให้บริการ</w:t>
      </w:r>
    </w:p>
    <w:p>
      <w:pPr>
        <w:pStyle w:val="Heading2"/>
      </w:pPr>
      <w:r>
        <w:t xml:space="preserve">ข.5 แหล่งข้อมูลทะเบียนภาครัฐหลัก</w:t>
      </w:r>
    </w:p>
    <w:p>
      <w:pPr>
        <w:pStyle w:val="ListParagraph"/>
        <w:numPr>
          <w:ilvl w:val="0"/>
          <w:numId w:val="2"/>
        </w:numPr>
      </w:pPr>
      <w:r>
        <w:t xml:space="preserve">สำนักงาน กกพ. — ระบบใบอนุญาตด้านพลังงาน (ใบอนุญาตผลิตไฟฟ้า) และข้อมูลการรับซื้อไฟฟ้า FiT</w:t>
      </w:r>
    </w:p>
    <w:p>
      <w:pPr>
        <w:pStyle w:val="ListParagraph"/>
        <w:numPr>
          <w:ilvl w:val="0"/>
          <w:numId w:val="2"/>
        </w:numPr>
      </w:pPr>
      <w:r>
        <w:t xml:space="preserve">กฟผ. / กฟภ. / กฟน. — ทะเบียนผู้ผลิตไฟฟ้ารายเล็ก (SPP) และรายเล็กมาก (VSPP)</w:t>
      </w:r>
    </w:p>
    <w:p>
      <w:pPr>
        <w:pStyle w:val="ListParagraph"/>
        <w:numPr>
          <w:ilvl w:val="0"/>
          <w:numId w:val="2"/>
        </w:numPr>
      </w:pPr>
      <w:r>
        <w:t xml:space="preserve">กรมโรงงานอุตสาหกรรม — ระบบข้อมูลโรงงาน (ใบอนุญาต รง.4)</w:t>
      </w:r>
    </w:p>
    <w:p>
      <w:pPr>
        <w:pStyle w:val="ListParagraph"/>
        <w:numPr>
          <w:ilvl w:val="0"/>
          <w:numId w:val="2"/>
        </w:numPr>
      </w:pPr>
      <w:r>
        <w:t xml:space="preserve">กรมพัฒนาพลังงานทดแทนและอนุรักษ์พลังงาน (พพ.) — สถิติพลังงานทดแทน</w:t>
      </w:r>
    </w:p>
    <w:p>
      <w:pPr>
        <w:pStyle w:val="ListParagraph"/>
        <w:numPr>
          <w:ilvl w:val="0"/>
          <w:numId w:val="2"/>
        </w:numPr>
      </w:pPr>
      <w:r>
        <w:t xml:space="preserve">สำนักงานคณะกรรมการส่งเสริมการลงทุน (BOI) — ข้อมูลโครงการที่ได้รับส่งเสริมการลงทุน</w:t>
      </w:r>
    </w:p>
    <w:p>
      <w:pPr>
        <w:pStyle w:val="ListParagraph"/>
        <w:numPr>
          <w:ilvl w:val="0"/>
          <w:numId w:val="2"/>
        </w:numPr>
      </w:pPr>
      <w:r>
        <w:t xml:space="preserve">สนพ. / กฟภ. / กฟน. — ข้อมูลสถานีอัดประจุไฟฟ้าและมิเตอร์อัตรา Low Priority</w:t>
      </w:r>
    </w:p>
    <w:p>
      <w:pPr>
        <w:pStyle w:val="ListParagraph"/>
        <w:numPr>
          <w:ilvl w:val="0"/>
          <w:numId w:val="2"/>
        </w:numPr>
      </w:pPr>
      <w:r>
        <w:t xml:space="preserve">กรมพัฒนาธุรกิจการค้า — ข้อมูลนิติบุคคลและงบการเงินของผู้ประกอบการ</w:t>
      </w:r>
    </w:p>
    <w:p>
      <w:pPr>
        <w:pStyle w:val="Heading2"/>
      </w:pPr>
      <w:r>
        <w:t xml:space="preserve">ข.6 การควบคุมคุณภาพข้อมูล</w:t>
      </w:r>
    </w:p>
    <w:p>
      <w:pPr>
        <w:pStyle w:val="ListParagraph"/>
        <w:numPr>
          <w:ilvl w:val="0"/>
          <w:numId w:val="2"/>
        </w:numPr>
      </w:pPr>
      <w:r>
        <w:t xml:space="preserve">บันทึกวันที่สืบค้นและรุ่นของข้อมูล (data version) ทุกครั้งที่ปรับปรุง</w:t>
      </w:r>
    </w:p>
    <w:p>
      <w:pPr>
        <w:pStyle w:val="ListParagraph"/>
        <w:numPr>
          <w:ilvl w:val="0"/>
          <w:numId w:val="2"/>
        </w:numPr>
      </w:pPr>
      <w:r>
        <w:t xml:space="preserve">ตรวจสอบข้ามแหล่งข้อมูล (data triangulation) อย่างน้อย 2 แหล่งต่อรายการสำคัญ</w:t>
      </w:r>
    </w:p>
    <w:p>
      <w:pPr>
        <w:pStyle w:val="ListParagraph"/>
        <w:numPr>
          <w:ilvl w:val="0"/>
          <w:numId w:val="2"/>
        </w:numPr>
      </w:pPr>
      <w:r>
        <w:t xml:space="preserve">อ้างอิงแหล่งที่มาในเชิงอรรถของหน้าที่ใช้ข้อมูล และในรายการเอกสารอ้างอิงท้ายเล่ม ตามข้อกำหนดการอ้างอิงของการศึกษานี้</w:t>
      </w:r>
    </w:p>
    <w:p>
      <w:pPr>
        <w:pStyle w:val="ListParagraph"/>
        <w:numPr>
          <w:ilvl w:val="0"/>
          <w:numId w:val="2"/>
        </w:numPr>
      </w:pPr>
      <w:r>
        <w:t xml:space="preserve">กำหนดผู้รับผิดชอบข้อมูล (data steward) ของแต่ละชุดข้อมูล</w:t>
      </w:r>
    </w:p>
    <w:sectPr w:rsidR="0080007E">
      <w:footerReference w:type="default" r:id="rId7"/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619D" w14:textId="77777777" w:rsidR="000247E5" w:rsidRPr="00BC510C" w:rsidRDefault="000247E5">
      <w:pPr>
        <w:spacing w:after="0" w:line="240" w:lineRule="auto"/>
      </w:pPr>
      <w:r w:rsidRPr="00BC510C">
        <w:separator/>
      </w:r>
    </w:p>
  </w:endnote>
  <w:endnote w:type="continuationSeparator" w:id="0">
    <w:p w14:paraId="533509B8" w14:textId="77777777" w:rsidR="000247E5" w:rsidRPr="00BC510C" w:rsidRDefault="000247E5">
      <w:pPr>
        <w:spacing w:after="0" w:line="240" w:lineRule="auto"/>
      </w:pPr>
      <w:r w:rsidRPr="00BC51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7B89" w14:textId="77777777" w:rsidR="0080007E" w:rsidRPr="00BC510C" w:rsidRDefault="00000000">
    <w:pPr>
      <w:jc w:val="center"/>
    </w:pPr>
    <w:r w:rsidRPr="00BC510C">
      <w:rPr>
        <w:color w:val="808080"/>
        <w:sz w:val="22"/>
        <w:szCs w:val="22"/>
      </w:rPr>
      <w:fldChar w:fldCharType="begin"/>
    </w:r>
    <w:r w:rsidRPr="00BC510C">
      <w:rPr>
        <w:color w:val="808080"/>
        <w:sz w:val="22"/>
        <w:szCs w:val="22"/>
      </w:rPr>
      <w:instrText>PAGE</w:instrText>
    </w:r>
    <w:r w:rsidRPr="00BC510C">
      <w:rPr>
        <w:color w:val="808080"/>
        <w:sz w:val="22"/>
        <w:szCs w:val="22"/>
      </w:rPr>
      <w:fldChar w:fldCharType="separate"/>
    </w:r>
    <w:r w:rsidR="00BC510C" w:rsidRPr="00BC510C">
      <w:rPr>
        <w:color w:val="808080"/>
        <w:sz w:val="22"/>
        <w:szCs w:val="22"/>
      </w:rPr>
      <w:t>1</w:t>
    </w:r>
    <w:r w:rsidRPr="00BC510C">
      <w:rPr>
        <w:color w:val="80808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3B147" w14:textId="77777777" w:rsidR="000247E5" w:rsidRPr="00BC510C" w:rsidRDefault="000247E5">
      <w:pPr>
        <w:spacing w:after="0" w:line="240" w:lineRule="auto"/>
      </w:pPr>
      <w:r w:rsidRPr="00BC510C">
        <w:separator/>
      </w:r>
    </w:p>
  </w:footnote>
  <w:footnote w:type="continuationSeparator" w:id="0">
    <w:p w14:paraId="25E5DF51" w14:textId="77777777" w:rsidR="000247E5" w:rsidRPr="00BC510C" w:rsidRDefault="000247E5">
      <w:pPr>
        <w:spacing w:after="0" w:line="240" w:lineRule="auto"/>
      </w:pPr>
      <w:r w:rsidRPr="00BC510C"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สำนักงานนโยบายและแผนพลังงาน (สนพ.) กระทรวงพลังงาน, แผนพัฒนากำลังผลิตไฟฟ้าของประเทศ (PDP) และแผนพัฒนาพลังงานทดแทนและพลังงานทางเลือก (AEDP), https://www.eppo.go.th (สืบค้นเมื่อ 18 สิงหาคม 2569)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สำนักงานนโยบายและแผนทรัพยากรธรรมชาติและสิ่งแวดล้อม (สผ.), Thailand's Long-Term Low Greenhouse Gas Emission Development Strategy (Revised Version), เสนอต่อ UNFCCC, พฤศจิกายน 2565, https://unfccc.int/process-and-meetings/the-paris-agreement/long-term-strategies (สืบค้นเมื่อ 18 สิงหาคม 2569)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คณะกรรมการนโยบายยานยนต์ไฟฟ้าแห่งชาติ, นโยบาย 30@30 (เป้าหมายการผลิตยานยนต์ที่ปล่อยมลพิษเป็นศูนย์ร้อยละ 30 ของการผลิตยานยนต์ทั้งหมดภายในปี ค.ศ. 2030) และมาตรการสนับสนุนการใช้ยานยนต์ไฟฟ้า ระยะที่ 2 (EV3.5) พ.ศ. 2567–2570 ตามมติคณะรัฐมนตรีเมื่อวันที่ 19 ธันวาคม 2566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ระเบียบคณะกรรมการกำกับกิจการพลังงาน ว่าด้วยการจัดหาไฟฟ้าจากพลังงานหมุนเวียนในรูปแบบ Feed-in Tariff (FiT) ปี 2565–2573 และประกาศที่เกี่ยวข้อง, สำนักงาน กกพ., https://www.erc.or.th (สืบค้นเมื่อ 18 สิงหาคม 2569)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พระราชบัญญัติการประกอบกิจการพลังงาน พ.ศ. 2550, ราชกิจจานุเบกษา เล่ม 124 ตอนที่ 89 ก (10 ธันวาคม 2550)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สำนักงานคณะกรรมการส่งเสริมการลงทุน (BOI), ประเภทกิจการที่ให้การส่งเสริมการลงทุน: กิจการผลิตไฟฟ้าจากพลังงานหมุนเวียน และกิจการสถานีอัดประจุไฟฟ้าสำหรับยานยนต์ไฟฟ้า, https://www.boi.go.th (สืบค้นเมื่อ 18 สิงหาคม 2569)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ประกาศกระทรวงทรัพยากรธรรมชาติและสิ่งแวดล้อม เรื่อง กำหนดโครงการ กิจการ หรือการดำเนินการ ซึ่งต้องจัดทำรายงานการประเมินผลกระทบสิ่งแวดล้อม ออกตามพระราชบัญญัติส่งเสริมและรักษาคุณภาพสิ่งแวดล้อมแห่งชาติ (ฉบับที่ 2) พ.ศ. 2561 และหลักเกณฑ์ประมวลหลักการปฏิบัติ (CoP) ของ กกพ. สำหรับโครงการที่ได้รับการยกเว้นไม่ต้องจัดทำ EIA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มติคณะกรรมการนโยบายพลังงานแห่งชาติ (กพช.) และระเบียบ/ประกาศ กกพ. ว่าด้วยการจัดหาไฟฟ้าจากขยะชุมชนในรูปแบบ Feed-in Tariff (FiT), สำนักงาน กกพ., https://www.erc.or.th (สืบค้นเมื่อ 18 สิงหาคม 2569)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มติ กพช. ครั้งที่ 167 เมื่อวันที่ 25 มิถุนายน 2567 เห็นชอบโครงการนำร่องการซื้อขายไฟฟ้าในรูปแบบ Direct PPA ผ่านการขอใช้บริการระบบโครงข่ายไฟฟ้าแก่บุคคลที่สาม (TPA) ในปริมาณไม่เกิน 2,000 เมกะวัตต์, สนพ., https://www.eppo.go.th (สืบค้นเมื่อ 18 สิงหาคม 2569)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ประกาศอัตราค่าไฟฟ้าสำหรับสถานีอัดประจุไฟฟ้าของยานยนต์ไฟฟ้าแบบ Low Priority ของการไฟฟ้านครหลวงและการไฟฟ้าส่วนภูมิภาค ตามมติ กพช. และมติ กกพ., https://www.mea.or.th และ https://www.pea.co.th (สืบค้นเมื่อ 18 สิงหาคม 2569)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ทะเบียนและระบบฐานข้อมูลภาครัฐที่เกี่ยวข้อง อาทิ ระบบใบอนุญาตด้านพลังงานของสำนักงาน กกพ. (https://www.erc.or.th), ทะเบียนผู้ผลิตไฟฟ้ารายเล็ก (SPP) และรายเล็กมาก (VSPP) ของ กฟผ. กฟภ. และ กฟน., ระบบข้อมูลโรงงานของกรมโรงงานอุตสาหกรรม (https://www.diw.go.th) และข้อมูลโครงการที่ได้รับส่งเสริมการลงทุนของ BOI (https://www.boi.go.th) (สืบค้นเมื่อ 18 สิงหาคม 2569)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E16"/>
    <w:multiLevelType w:val="hybridMultilevel"/>
    <w:tmpl w:val="C1381BF8"/>
    <w:lvl w:ilvl="0" w:tplc="5E36CDBC">
      <w:start w:val="1"/>
      <w:numFmt w:val="bullet"/>
      <w:lvlText w:val="●"/>
      <w:lvlJc w:val="left"/>
      <w:pPr>
        <w:ind w:left="720" w:hanging="360"/>
      </w:pPr>
    </w:lvl>
    <w:lvl w:ilvl="1" w:tplc="356493AC">
      <w:start w:val="1"/>
      <w:numFmt w:val="bullet"/>
      <w:lvlText w:val="○"/>
      <w:lvlJc w:val="left"/>
      <w:pPr>
        <w:ind w:left="1440" w:hanging="360"/>
      </w:pPr>
    </w:lvl>
    <w:lvl w:ilvl="2" w:tplc="D86074EE">
      <w:start w:val="1"/>
      <w:numFmt w:val="bullet"/>
      <w:lvlText w:val="■"/>
      <w:lvlJc w:val="left"/>
      <w:pPr>
        <w:ind w:left="2160" w:hanging="360"/>
      </w:pPr>
    </w:lvl>
    <w:lvl w:ilvl="3" w:tplc="317822AA">
      <w:start w:val="1"/>
      <w:numFmt w:val="bullet"/>
      <w:lvlText w:val="●"/>
      <w:lvlJc w:val="left"/>
      <w:pPr>
        <w:ind w:left="2880" w:hanging="360"/>
      </w:pPr>
    </w:lvl>
    <w:lvl w:ilvl="4" w:tplc="32B81FEC">
      <w:start w:val="1"/>
      <w:numFmt w:val="bullet"/>
      <w:lvlText w:val="○"/>
      <w:lvlJc w:val="left"/>
      <w:pPr>
        <w:ind w:left="3600" w:hanging="360"/>
      </w:pPr>
    </w:lvl>
    <w:lvl w:ilvl="5" w:tplc="E2009792">
      <w:start w:val="1"/>
      <w:numFmt w:val="bullet"/>
      <w:lvlText w:val="■"/>
      <w:lvlJc w:val="left"/>
      <w:pPr>
        <w:ind w:left="4320" w:hanging="360"/>
      </w:pPr>
    </w:lvl>
    <w:lvl w:ilvl="6" w:tplc="301C0D1A">
      <w:start w:val="1"/>
      <w:numFmt w:val="bullet"/>
      <w:lvlText w:val="●"/>
      <w:lvlJc w:val="left"/>
      <w:pPr>
        <w:ind w:left="5040" w:hanging="360"/>
      </w:pPr>
    </w:lvl>
    <w:lvl w:ilvl="7" w:tplc="1430DB8C">
      <w:start w:val="1"/>
      <w:numFmt w:val="bullet"/>
      <w:lvlText w:val="●"/>
      <w:lvlJc w:val="left"/>
      <w:pPr>
        <w:ind w:left="5760" w:hanging="360"/>
      </w:pPr>
    </w:lvl>
    <w:lvl w:ilvl="8" w:tplc="259C2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9D1CF2"/>
    <w:multiLevelType w:val="hybridMultilevel"/>
    <w:tmpl w:val="5C8239F0"/>
    <w:lvl w:ilvl="0" w:tplc="0502792E">
      <w:start w:val="1"/>
      <w:numFmt w:val="bullet"/>
      <w:lvlText w:val="•"/>
      <w:lvlJc w:val="left"/>
      <w:pPr>
        <w:ind w:left="720" w:hanging="360"/>
      </w:pPr>
    </w:lvl>
    <w:lvl w:ilvl="1" w:tplc="7568B3F8">
      <w:start w:val="1"/>
      <w:numFmt w:val="bullet"/>
      <w:lvlText w:val="◦"/>
      <w:lvlJc w:val="left"/>
      <w:pPr>
        <w:ind w:left="1200" w:hanging="360"/>
      </w:pPr>
    </w:lvl>
    <w:lvl w:ilvl="2" w:tplc="C09CC766">
      <w:numFmt w:val="decimal"/>
      <w:lvlText w:val=""/>
      <w:lvlJc w:val="left"/>
    </w:lvl>
    <w:lvl w:ilvl="3" w:tplc="420C5042">
      <w:numFmt w:val="decimal"/>
      <w:lvlText w:val=""/>
      <w:lvlJc w:val="left"/>
    </w:lvl>
    <w:lvl w:ilvl="4" w:tplc="6B90F546">
      <w:numFmt w:val="decimal"/>
      <w:lvlText w:val=""/>
      <w:lvlJc w:val="left"/>
    </w:lvl>
    <w:lvl w:ilvl="5" w:tplc="3050F2D8">
      <w:numFmt w:val="decimal"/>
      <w:lvlText w:val=""/>
      <w:lvlJc w:val="left"/>
    </w:lvl>
    <w:lvl w:ilvl="6" w:tplc="10665B22">
      <w:numFmt w:val="decimal"/>
      <w:lvlText w:val=""/>
      <w:lvlJc w:val="left"/>
    </w:lvl>
    <w:lvl w:ilvl="7" w:tplc="9A0A0B64">
      <w:numFmt w:val="decimal"/>
      <w:lvlText w:val=""/>
      <w:lvlJc w:val="left"/>
    </w:lvl>
    <w:lvl w:ilvl="8" w:tplc="76A641D8">
      <w:numFmt w:val="decimal"/>
      <w:lvlText w:val=""/>
      <w:lvlJc w:val="left"/>
    </w:lvl>
  </w:abstractNum>
  <w:num w:numId="1" w16cid:durableId="699664365">
    <w:abstractNumId w:val="0"/>
    <w:lvlOverride w:ilvl="0">
      <w:startOverride w:val="1"/>
    </w:lvlOverride>
  </w:num>
  <w:num w:numId="2" w16cid:durableId="1182888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07E"/>
    <w:rsid w:val="000247E5"/>
    <w:rsid w:val="0080007E"/>
    <w:rsid w:val="00834B7F"/>
    <w:rsid w:val="00BC510C"/>
    <w:rsid w:val="00F7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EA9D"/>
  <w15:docId w15:val="{94B8BC9D-3C12-4590-BEFC-7DF94D15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color w:val="2E5395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510C"/>
    <w:pPr>
      <w:spacing w:after="100"/>
    </w:pPr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C510C"/>
    <w:pPr>
      <w:spacing w:after="100"/>
      <w:ind w:left="300"/>
    </w:pPr>
    <w:rPr>
      <w:rFonts w:cs="Angsana New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2880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Pee Chai</cp:lastModifiedBy>
  <cp:revision>2</cp:revision>
  <dcterms:created xsi:type="dcterms:W3CDTF">2026-08-18T00:50:00Z</dcterms:created>
  <dcterms:modified xsi:type="dcterms:W3CDTF">2026-08-18T01:10:00Z</dcterms:modified>
</cp:coreProperties>
</file>