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1F3864"/>
          <w:sz w:val="44"/>
          <w:szCs w:val="44"/>
        </w:rPr>
        <w:t xml:space="preserve">Terms of Reference</w:t>
      </w:r>
    </w:p>
    <w:p>
      <w:pPr>
        <w:spacing w:after="400"/>
        <w:jc w:val="center"/>
      </w:pPr>
      <w:r>
        <w:rPr>
          <w:b/>
          <w:bCs/>
          <w:color w:val="1F3864"/>
          <w:sz w:val="44"/>
          <w:szCs w:val="44"/>
        </w:rPr>
        <w:t xml:space="preserve">Project Feasibility Study</w:t>
      </w:r>
    </w:p>
    <w:p>
      <w:pPr>
        <w:spacing w:after="120"/>
        <w:jc w:val="center"/>
      </w:pPr>
      <w:r>
        <w:rPr>
          <w:color w:val="404040"/>
          <w:sz w:val="32"/>
          <w:szCs w:val="32"/>
        </w:rPr>
        <w:t xml:space="preserve">Four Prospective Energy Business Ventures</w:t>
      </w:r>
    </w:p>
    <w:p>
      <w:pPr>
        <w:spacing w:after="120"/>
        <w:jc w:val="center"/>
      </w:pPr>
      <w:r>
        <w:rPr>
          <w:color w:val="404040"/>
          <w:sz w:val="32"/>
          <w:szCs w:val="32"/>
        </w:rPr>
        <w:t xml:space="preserve">Biomass Power Plant • Waste-to-Energy Power Plant</w:t>
      </w:r>
    </w:p>
    <w:p>
      <w:pPr>
        <w:spacing w:after="120"/>
        <w:jc w:val="center"/>
      </w:pPr>
      <w:r>
        <w:rPr>
          <w:color w:val="404040"/>
          <w:sz w:val="32"/>
          <w:szCs w:val="32"/>
        </w:rPr>
        <w:t xml:space="preserve">Private PPA Solar Investorship • EV Charging Station Business</w:t>
      </w:r>
    </w:p>
    <w:p>
      <w:pPr>
        <w:spacing w:after="120"/>
        <w:jc w:val="center"/>
      </w:pPr>
      <w:r>
        <w:rPr>
          <w:color w:val="404040"/>
          <w:sz w:val="32"/>
          <w:szCs w:val="32"/>
        </w:rPr>
        <w:t xml:space="preserve"/>
      </w:r>
    </w:p>
    <w:p>
      <w:pPr>
        <w:spacing w:after="120"/>
        <w:jc w:val="center"/>
      </w:pPr>
      <w:r>
        <w:rPr>
          <w:color w:val="404040"/>
          <w:sz w:val="32"/>
          <w:szCs w:val="32"/>
        </w:rPr>
        <w:t xml:space="preserve">Report No. 1: Scope of Study (English Edition)</w:t>
      </w:r>
    </w:p>
    <w:p>
      <w:pPr>
        <w:spacing w:before="2000"/>
      </w:pPr>
    </w:p>
    <w:p>
      <w:pPr>
        <w:jc w:val="center"/>
      </w:pPr>
      <w:r>
        <w:rPr>
          <w:color w:val="595959"/>
          <w:sz w:val="28"/>
          <w:szCs w:val="28"/>
        </w:rPr>
        <w:t xml:space="preserve">August 2026</w:t>
      </w:r>
    </w:p>
    <w:p>
      <w:r>
        <w:br w:type="page"/>
      </w:r>
    </w:p>
    <w:p>
      <w:pPr>
        <w:pStyle w:val="Heading1"/>
      </w:pPr>
      <w: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Background and Rationale</w:t>
      </w:r>
    </w:p>
    <w:p>
      <w:pPr>
        <w:jc w:val="thaiDistribute"/>
      </w:pPr>
      <w:r>
        <w:t xml:space="preserve">In alignment with Thailand’s energy transition trajectory—as articulated in the Power Development Plan (PDP), the Alternative Energy Development Plan (AEDP)</w:t>
      </w:r>
      <w:r>
        <w:rPr>
          <w:rStyle w:val="FootnoteReference"/>
        </w:rPr>
        <w:footnoteReference w:id="1"/>
      </w:r>
      <w:r>
        <w:t xml:space="preserve">, the national commitment to Carbon Neutrality by 2050, and Net Zero greenhouse gas emissions by 2065</w:t>
      </w:r>
      <w:r>
        <w:rPr>
          <w:rStyle w:val="FootnoteReference"/>
        </w:rPr>
        <w:footnoteReference w:id="2"/>
      </w:r>
      <w:r>
        <w:t xml:space="preserve">—renewable energy generation and electric mobility infrastructure constitute investment domains of pronounced strategic potential.</w:t>
      </w:r>
    </w:p>
    <w:p>
      <w:pPr>
        <w:jc w:val="thaiDistribute"/>
      </w:pPr>
      <w:r>
        <w:t xml:space="preserve">The organization therefore intends to commission a comprehensive Project Feasibility Study covering four prospective energy business ventures: (1) a Biomass Power Plant; (2) a Waste-to-Energy (WtE) Power Plant; (3) an investorship position under Private Power Purchase Agreements for solar photovoltaic systems (Private PPA Solar Investor); and (4) an investorship and operatorship position in the Electric Vehicle (EV) Charging Station business. The study shall furnish a rigorous, evidence-based foundation for capital allocation decisions.</w:t>
      </w:r>
    </w:p>
    <w:p>
      <w:pPr>
        <w:jc w:val="thaiDistribute"/>
      </w:pPr>
      <w:r>
        <w:t xml:space="preserve">This document constitutes the Terms of Reference (TOR) for the aforementioned study. It delineates the study objectives, the dimensional and project-specific scopes of analysis, the research methodology, the feasibility evaluation criteria, the deliverables, and the indicative work programme.</w:t>
      </w:r>
    </w:p>
    <w:p>
      <w:pPr>
        <w:pStyle w:val="Heading1"/>
      </w:pPr>
      <w:r>
        <w:t xml:space="preserve">2. Objectives of the Study</w:t>
      </w:r>
    </w:p>
    <w:p>
      <w:pPr>
        <w:pStyle w:val="ListParagraph"/>
        <w:numPr>
          <w:ilvl w:val="0"/>
          <w:numId w:val="2"/>
        </w:numPr>
      </w:pPr>
      <w:r>
        <w:t xml:space="preserve">To appraise the feasibility of the four prospective investments comprehensively across seven analytical dimensions: market; technical and engineering; legal and regulatory; environmental and social; financial and economic; risk; and organizational and managerial feasibility.</w:t>
      </w:r>
    </w:p>
    <w:p>
      <w:pPr>
        <w:pStyle w:val="ListParagraph"/>
        <w:numPr>
          <w:ilvl w:val="0"/>
          <w:numId w:val="2"/>
        </w:numPr>
      </w:pPr>
      <w:r>
        <w:t xml:space="preserve">To conduct a comparative assessment of investment attractiveness across the four ventures and to establish a defensible prioritization based on predetermined decision criteria.</w:t>
      </w:r>
    </w:p>
    <w:p>
      <w:pPr>
        <w:pStyle w:val="ListParagraph"/>
        <w:numPr>
          <w:ilvl w:val="0"/>
          <w:numId w:val="2"/>
        </w:numPr>
      </w:pPr>
      <w:r>
        <w:t xml:space="preserve">To identify the critical success factors, preconditions, and principal risk exposures of each venture, together with corresponding risk mitigation measures.</w:t>
      </w:r>
    </w:p>
    <w:p>
      <w:pPr>
        <w:pStyle w:val="ListParagraph"/>
        <w:numPr>
          <w:ilvl w:val="0"/>
          <w:numId w:val="2"/>
        </w:numPr>
      </w:pPr>
      <w:r>
        <w:t xml:space="preserve">To formulate strategic recommendations and an implementation roadmap for ventures satisfying the feasibility thresholds.</w:t>
      </w:r>
    </w:p>
    <w:p>
      <w:pPr>
        <w:pStyle w:val="ListParagraph"/>
        <w:numPr>
          <w:ilvl w:val="0"/>
          <w:numId w:val="2"/>
        </w:numPr>
      </w:pPr>
      <w:r>
        <w:t xml:space="preserve">To produce two reports, each in Thai and English editions: Report No. 1, the Scope of Study (Inception/TOR Report); and Report No. 2, the Final Feasibility Study Report.</w:t>
      </w:r>
    </w:p>
    <w:p>
      <w:pPr>
        <w:pStyle w:val="Heading1"/>
      </w:pPr>
      <w:r>
        <w:t xml:space="preserve">3. Definition and Delimitation of the Ventures under Study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00"/>
      </w:tblGrid>
      <w:tr>
        <w:trPr>
          <w:tblHeader/>
        </w:trPr>
        <w:tc>
          <w:tcPr>
            <w:tcW w:type="dxa" w:w="1900"/>
            <w:shd w:fill="D9E2F3" w:val="clear"/>
            <w:tcMar>
              <w:top w:type="dxa" w:w="60"/>
              <w:left w:type="dxa" w:w="100"/>
              <w:bottom w:type="dxa" w:w="60"/>
              <w:right w:type="dxa" w:w="100"/>
            </w:tcMar>
          </w:tcPr>
          <w:p>
            <w:r>
              <w:rPr>
                <w:b/>
                <w:bCs/>
              </w:rPr>
              <w:t xml:space="preserve">Venture</w:t>
            </w:r>
          </w:p>
        </w:tc>
        <w:tc>
          <w:tcPr>
            <w:tcW w:type="dxa" w:w="3700"/>
            <w:shd w:fill="D9E2F3" w:val="clear"/>
            <w:tcMar>
              <w:top w:type="dxa" w:w="60"/>
              <w:left w:type="dxa" w:w="100"/>
              <w:bottom w:type="dxa" w:w="60"/>
              <w:right w:type="dxa" w:w="100"/>
            </w:tcMar>
          </w:tcPr>
          <w:p>
            <w:r>
              <w:rPr>
                <w:b/>
                <w:bCs/>
              </w:rPr>
              <w:t xml:space="preserve">Operational Definition</w:t>
            </w:r>
          </w:p>
        </w:tc>
        <w:tc>
          <w:tcPr>
            <w:tcW w:type="dxa" w:w="3700"/>
            <w:shd w:fill="D9E2F3" w:val="clear"/>
            <w:tcMar>
              <w:top w:type="dxa" w:w="60"/>
              <w:left w:type="dxa" w:w="100"/>
              <w:bottom w:type="dxa" w:w="60"/>
              <w:right w:type="dxa" w:w="100"/>
            </w:tcMar>
          </w:tcPr>
          <w:p>
            <w:r>
              <w:rPr>
                <w:b/>
                <w:bCs/>
              </w:rPr>
              <w:t xml:space="preserve">Preliminary Business Model</w:t>
            </w:r>
          </w:p>
        </w:tc>
      </w:tr>
      <w:tr>
        <w:tc>
          <w:tcPr>
            <w:tcW w:type="dxa" w:w="1900"/>
            <w:tcMar>
              <w:top w:type="dxa" w:w="60"/>
              <w:left w:type="dxa" w:w="100"/>
              <w:bottom w:type="dxa" w:w="60"/>
              <w:right w:type="dxa" w:w="100"/>
            </w:tcMar>
          </w:tcPr>
          <w:p>
            <w:r>
              <w:rPr>
                <w:b w:val="false"/>
                <w:bCs w:val="false"/>
              </w:rPr>
              <w:t xml:space="preserve">Biomass Power Plant</w:t>
            </w:r>
          </w:p>
        </w:tc>
        <w:tc>
          <w:tcPr>
            <w:tcW w:type="dxa" w:w="3700"/>
            <w:tcMar>
              <w:top w:type="dxa" w:w="60"/>
              <w:left w:type="dxa" w:w="100"/>
              <w:bottom w:type="dxa" w:w="60"/>
              <w:right w:type="dxa" w:w="100"/>
            </w:tcMar>
          </w:tcPr>
          <w:p>
            <w:r>
              <w:rPr>
                <w:b w:val="false"/>
                <w:bCs w:val="false"/>
              </w:rPr>
              <w:t xml:space="preserve">A power generation facility fuelled principally by biomass feedstock, e.g., agricultural residues, wood chips, rice husk, bagasse, and empty palm fruit bunches.</w:t>
            </w:r>
          </w:p>
        </w:tc>
        <w:tc>
          <w:tcPr>
            <w:tcW w:type="dxa" w:w="3700"/>
            <w:tcMar>
              <w:top w:type="dxa" w:w="60"/>
              <w:left w:type="dxa" w:w="100"/>
              <w:bottom w:type="dxa" w:w="60"/>
              <w:right w:type="dxa" w:w="100"/>
            </w:tcMar>
          </w:tcPr>
          <w:p>
            <w:r>
              <w:rPr>
                <w:b w:val="false"/>
                <w:bCs w:val="false"/>
              </w:rPr>
              <w:t xml:space="preserve">Very Small Power Producer (VSPP) or Small Power Producer (SPP) selling electricity to the grid under the Feed-in Tariff (FiT) regime and/or directly to industrial off-takers.</w:t>
            </w:r>
          </w:p>
        </w:tc>
      </w:tr>
      <w:tr>
        <w:tc>
          <w:tcPr>
            <w:tcW w:type="dxa" w:w="1900"/>
            <w:tcMar>
              <w:top w:type="dxa" w:w="60"/>
              <w:left w:type="dxa" w:w="100"/>
              <w:bottom w:type="dxa" w:w="60"/>
              <w:right w:type="dxa" w:w="100"/>
            </w:tcMar>
          </w:tcPr>
          <w:p>
            <w:r>
              <w:rPr>
                <w:b w:val="false"/>
                <w:bCs w:val="false"/>
              </w:rPr>
              <w:t xml:space="preserve">Waste-to-Energy Power Plant</w:t>
            </w:r>
          </w:p>
        </w:tc>
        <w:tc>
          <w:tcPr>
            <w:tcW w:type="dxa" w:w="3700"/>
            <w:tcMar>
              <w:top w:type="dxa" w:w="60"/>
              <w:left w:type="dxa" w:w="100"/>
              <w:bottom w:type="dxa" w:w="60"/>
              <w:right w:type="dxa" w:w="100"/>
            </w:tcMar>
          </w:tcPr>
          <w:p>
            <w:r>
              <w:rPr>
                <w:b w:val="false"/>
                <w:bCs w:val="false"/>
              </w:rPr>
              <w:t xml:space="preserve">A facility converting municipal solid waste (MSW) or industrial waste into electricity via incineration, refuse-derived fuel (RDF), or gasification technologies.</w:t>
            </w:r>
          </w:p>
        </w:tc>
        <w:tc>
          <w:tcPr>
            <w:tcW w:type="dxa" w:w="3700"/>
            <w:tcMar>
              <w:top w:type="dxa" w:w="60"/>
              <w:left w:type="dxa" w:w="100"/>
              <w:bottom w:type="dxa" w:w="60"/>
              <w:right w:type="dxa" w:w="100"/>
            </w:tcMar>
          </w:tcPr>
          <w:p>
            <w:r>
              <w:rPr>
                <w:b w:val="false"/>
                <w:bCs w:val="false"/>
              </w:rPr>
              <w:t xml:space="preserve">Collaboration with Local Administrative Organizations (LAOs) under Public-Private Partnership (PPP) structures or waste-management concessions, coupled with grid electricity sales.</w:t>
            </w:r>
          </w:p>
        </w:tc>
      </w:tr>
      <w:tr>
        <w:tc>
          <w:tcPr>
            <w:tcW w:type="dxa" w:w="1900"/>
            <w:tcMar>
              <w:top w:type="dxa" w:w="60"/>
              <w:left w:type="dxa" w:w="100"/>
              <w:bottom w:type="dxa" w:w="60"/>
              <w:right w:type="dxa" w:w="100"/>
            </w:tcMar>
          </w:tcPr>
          <w:p>
            <w:r>
              <w:rPr>
                <w:b w:val="false"/>
                <w:bCs w:val="false"/>
              </w:rPr>
              <w:t xml:space="preserve">Private PPA Solar Investor</w:t>
            </w:r>
          </w:p>
        </w:tc>
        <w:tc>
          <w:tcPr>
            <w:tcW w:type="dxa" w:w="3700"/>
            <w:tcMar>
              <w:top w:type="dxa" w:w="60"/>
              <w:left w:type="dxa" w:w="100"/>
              <w:bottom w:type="dxa" w:w="60"/>
              <w:right w:type="dxa" w:w="100"/>
            </w:tcMar>
          </w:tcPr>
          <w:p>
            <w:r>
              <w:rPr>
                <w:b w:val="false"/>
                <w:bCs w:val="false"/>
              </w:rPr>
              <w:t xml:space="preserve">Investment in solar photovoltaic systems (rooftop, ground-mounted, or floating) installed on electricity consumers’ premises, with output sold directly to the host under a Private/Corporate Power Purchase Agreement.</w:t>
            </w:r>
          </w:p>
        </w:tc>
        <w:tc>
          <w:tcPr>
            <w:tcW w:type="dxa" w:w="3700"/>
            <w:tcMar>
              <w:top w:type="dxa" w:w="60"/>
              <w:left w:type="dxa" w:w="100"/>
              <w:bottom w:type="dxa" w:w="60"/>
              <w:right w:type="dxa" w:w="100"/>
            </w:tcMar>
          </w:tcPr>
          <w:p>
            <w:r>
              <w:rPr>
                <w:b w:val="false"/>
                <w:bCs w:val="false"/>
              </w:rPr>
              <w:t xml:space="preserve">Build-Own-Operate (BOO) or Build-Own-Operate-Transfer (BOOT) schemes offering a discount-to-grid tariff over contract tenors of 10–25 years.</w:t>
            </w:r>
          </w:p>
        </w:tc>
      </w:tr>
      <w:tr>
        <w:tc>
          <w:tcPr>
            <w:tcW w:type="dxa" w:w="1900"/>
            <w:tcMar>
              <w:top w:type="dxa" w:w="60"/>
              <w:left w:type="dxa" w:w="100"/>
              <w:bottom w:type="dxa" w:w="60"/>
              <w:right w:type="dxa" w:w="100"/>
            </w:tcMar>
          </w:tcPr>
          <w:p>
            <w:r>
              <w:rPr>
                <w:b w:val="false"/>
                <w:bCs w:val="false"/>
              </w:rPr>
              <w:t xml:space="preserve">EV Charging Station Business</w:t>
            </w:r>
          </w:p>
        </w:tc>
        <w:tc>
          <w:tcPr>
            <w:tcW w:type="dxa" w:w="3700"/>
            <w:tcMar>
              <w:top w:type="dxa" w:w="60"/>
              <w:left w:type="dxa" w:w="100"/>
              <w:bottom w:type="dxa" w:w="60"/>
              <w:right w:type="dxa" w:w="100"/>
            </w:tcMar>
          </w:tcPr>
          <w:p>
            <w:r>
              <w:rPr>
                <w:b w:val="false"/>
                <w:bCs w:val="false"/>
              </w:rPr>
              <w:t xml:space="preserve">Investment in, development of, and operation of public and semi-public EV charging stations, encompassing both alternating-current (AC) and direct-current fast charging (DCFC) infrastructure.</w:t>
            </w:r>
          </w:p>
        </w:tc>
        <w:tc>
          <w:tcPr>
            <w:tcW w:type="dxa" w:w="3700"/>
            <w:tcMar>
              <w:top w:type="dxa" w:w="60"/>
              <w:left w:type="dxa" w:w="100"/>
              <w:bottom w:type="dxa" w:w="60"/>
              <w:right w:type="dxa" w:w="100"/>
            </w:tcMar>
          </w:tcPr>
          <w:p>
            <w:r>
              <w:rPr>
                <w:b w:val="false"/>
                <w:bCs w:val="false"/>
              </w:rPr>
              <w:t xml:space="preserve">Revenue derived from charging service fees, platform fees, ancillary services, and commercial-site partnerships (revenue sharing or fixed rent).</w:t>
            </w:r>
          </w:p>
        </w:tc>
      </w:tr>
    </w:tbl>
    <w:p>
      <w:pPr>
        <w:jc w:val="thaiDistribute"/>
      </w:pPr>
      <w:r>
        <w:t xml:space="preserve"/>
      </w:r>
    </w:p>
    <w:p>
      <w:pPr>
        <w:pStyle w:val="Heading1"/>
      </w:pPr>
      <w:r>
        <w:t xml:space="preserve">4. Cross-Cutting Dimensional Scope of Study (Applicable to All Ventures)</w:t>
      </w:r>
    </w:p>
    <w:p>
      <w:pPr>
        <w:pStyle w:val="Heading2"/>
      </w:pPr>
      <w:r>
        <w:t xml:space="preserve">4.1 Market Feasibility</w:t>
      </w:r>
    </w:p>
    <w:p>
      <w:pPr>
        <w:pStyle w:val="ListParagraph"/>
        <w:numPr>
          <w:ilvl w:val="0"/>
          <w:numId w:val="2"/>
        </w:numPr>
      </w:pPr>
      <w:r>
        <w:t xml:space="preserve">Analysis of electricity demand and supply, market structure, and industry trends at both macro and target-area levels.</w:t>
      </w:r>
    </w:p>
    <w:p>
      <w:pPr>
        <w:pStyle w:val="ListParagraph"/>
        <w:numPr>
          <w:ilvl w:val="0"/>
          <w:numId w:val="2"/>
        </w:numPr>
      </w:pPr>
      <w:r>
        <w:t xml:space="preserve">Review of pertinent public policy instruments, including the PDP, the AEDP, renewable energy procurement schemes, and EV promotion policies</w:t>
      </w:r>
      <w:r>
        <w:rPr>
          <w:rStyle w:val="FootnoteReference"/>
        </w:rPr>
        <w:footnoteReference w:id="3"/>
      </w:r>
      <w:r>
        <w:t xml:space="preserve">.</w:t>
      </w:r>
    </w:p>
    <w:p>
      <w:pPr>
        <w:pStyle w:val="ListParagraph"/>
        <w:numPr>
          <w:ilvl w:val="0"/>
          <w:numId w:val="2"/>
        </w:numPr>
      </w:pPr>
      <w:r>
        <w:t xml:space="preserve">Analysis of pricing structures and procurement tariffs, including fuel-specific FiT rates</w:t>
      </w:r>
      <w:r>
        <w:rPr>
          <w:rStyle w:val="FootnoteReference"/>
        </w:rPr>
        <w:footnoteReference w:id="4"/>
      </w:r>
      <w:r>
        <w:t xml:space="preserve">, base tariff and the automatic tariff adjustment (Ft), and charging service tariff structures.</w:t>
      </w:r>
    </w:p>
    <w:p>
      <w:pPr>
        <w:pStyle w:val="ListParagraph"/>
        <w:numPr>
          <w:ilvl w:val="0"/>
          <w:numId w:val="2"/>
        </w:numPr>
      </w:pPr>
      <w:r>
        <w:t xml:space="preserve">Competitor analysis, market share assessment, and strategic positioning.</w:t>
      </w:r>
    </w:p>
    <w:p>
      <w:pPr>
        <w:pStyle w:val="ListParagraph"/>
        <w:numPr>
          <w:ilvl w:val="0"/>
          <w:numId w:val="2"/>
        </w:numPr>
      </w:pPr>
      <w:r>
        <w:t xml:space="preserve">Revenue and offtake projections over the project lifetime under Base, High, and Low scenarios.</w:t>
      </w:r>
    </w:p>
    <w:p>
      <w:pPr>
        <w:pStyle w:val="Heading2"/>
      </w:pPr>
      <w:r>
        <w:t xml:space="preserve">4.2 Technical and Engineering Feasibility</w:t>
      </w:r>
    </w:p>
    <w:p>
      <w:pPr>
        <w:pStyle w:val="ListParagraph"/>
        <w:numPr>
          <w:ilvl w:val="0"/>
          <w:numId w:val="2"/>
        </w:numPr>
      </w:pPr>
      <w:r>
        <w:t xml:space="preserve">Technology assessment and selection, including evaluation of Technology Readiness Levels (TRL).</w:t>
      </w:r>
    </w:p>
    <w:p>
      <w:pPr>
        <w:pStyle w:val="ListParagraph"/>
        <w:numPr>
          <w:ilvl w:val="0"/>
          <w:numId w:val="2"/>
        </w:numPr>
      </w:pPr>
      <w:r>
        <w:t xml:space="preserve">Site selection and suitability analysis, resource potential appraisal, and grid interconnection study.</w:t>
      </w:r>
    </w:p>
    <w:p>
      <w:pPr>
        <w:pStyle w:val="ListParagraph"/>
        <w:numPr>
          <w:ilvl w:val="0"/>
          <w:numId w:val="2"/>
        </w:numPr>
      </w:pPr>
      <w:r>
        <w:t xml:space="preserve">Conceptual design, optimal capacity sizing, and energy yield assessment.</w:t>
      </w:r>
    </w:p>
    <w:p>
      <w:pPr>
        <w:pStyle w:val="ListParagraph"/>
        <w:numPr>
          <w:ilvl w:val="0"/>
          <w:numId w:val="2"/>
        </w:numPr>
      </w:pPr>
      <w:r>
        <w:t xml:space="preserve">Appraisal of feedstock and fuel supply security across the supply chain.</w:t>
      </w:r>
    </w:p>
    <w:p>
      <w:pPr>
        <w:pStyle w:val="ListParagraph"/>
        <w:numPr>
          <w:ilvl w:val="0"/>
          <w:numId w:val="2"/>
        </w:numPr>
      </w:pPr>
      <w:r>
        <w:t xml:space="preserve">Operation and maintenance (O&amp;M) planning assumptions, including availability factors and system efficiency parameters.</w:t>
      </w:r>
    </w:p>
    <w:p>
      <w:pPr>
        <w:pStyle w:val="Heading2"/>
      </w:pPr>
      <w:r>
        <w:t xml:space="preserve">4.3 Legal and Regulatory Feasibility</w:t>
      </w:r>
    </w:p>
    <w:p>
      <w:pPr>
        <w:pStyle w:val="ListParagraph"/>
        <w:numPr>
          <w:ilvl w:val="0"/>
          <w:numId w:val="2"/>
        </w:numPr>
      </w:pPr>
      <w:r>
        <w:t xml:space="preserve">Review of the governing legal and regulatory framework, including the Energy Industry Act B.E. 2550 (2007)</w:t>
      </w:r>
      <w:r>
        <w:rPr>
          <w:rStyle w:val="FootnoteReference"/>
        </w:rPr>
        <w:footnoteReference w:id="5"/>
      </w:r>
      <w:r>
        <w:t xml:space="preserve">, regulations and notifications of the Energy Regulatory Commission (ERC), town planning law, and factory law.</w:t>
      </w:r>
    </w:p>
    <w:p>
      <w:pPr>
        <w:pStyle w:val="ListParagraph"/>
        <w:numPr>
          <w:ilvl w:val="0"/>
          <w:numId w:val="2"/>
        </w:numPr>
      </w:pPr>
      <w:r>
        <w:t xml:space="preserve">Preparation of a licensing and permitting roadmap, encompassing the electricity generation licence, the factory operation licence (Ror.Ngor.4), construction permits, and requisite registrations.</w:t>
      </w:r>
    </w:p>
    <w:p>
      <w:pPr>
        <w:pStyle w:val="ListParagraph"/>
        <w:numPr>
          <w:ilvl w:val="0"/>
          <w:numId w:val="2"/>
        </w:numPr>
      </w:pPr>
      <w:r>
        <w:t xml:space="preserve">Analysis of principal contractual arrangements: the Power Purchase Agreement (PPA), fuel/feedstock supply agreements, the Engineering-Procurement-Construction (EPC) contract, and land lease or land-use agreements.</w:t>
      </w:r>
    </w:p>
    <w:p>
      <w:pPr>
        <w:pStyle w:val="ListParagraph"/>
        <w:numPr>
          <w:ilvl w:val="0"/>
          <w:numId w:val="2"/>
        </w:numPr>
      </w:pPr>
      <w:r>
        <w:t xml:space="preserve">Assessment of Board of Investment (BOI) incentives</w:t>
      </w:r>
      <w:r>
        <w:rPr>
          <w:rStyle w:val="FootnoteReference"/>
        </w:rPr>
        <w:footnoteReference w:id="6"/>
      </w:r>
      <w:r>
        <w:t xml:space="preserve"> and applicable fiscal support measures.</w:t>
      </w:r>
    </w:p>
    <w:p>
      <w:pPr>
        <w:pStyle w:val="Heading2"/>
      </w:pPr>
      <w:r>
        <w:t xml:space="preserve">4.4 Environmental and Social Feasibility</w:t>
      </w:r>
    </w:p>
    <w:p>
      <w:pPr>
        <w:pStyle w:val="ListParagraph"/>
        <w:numPr>
          <w:ilvl w:val="0"/>
          <w:numId w:val="2"/>
        </w:numPr>
      </w:pPr>
      <w:r>
        <w:t xml:space="preserve">Determination of the applicable environmental assessment regime—Environmental Impact Assessment (EIA), Initial Environmental Examination (IEE), or Code of Practice (CoP)</w:t>
      </w:r>
      <w:r>
        <w:rPr>
          <w:rStyle w:val="FootnoteReference"/>
        </w:rPr>
        <w:footnoteReference w:id="7"/>
      </w:r>
      <w:r>
        <w:t xml:space="preserve">—by project type and scale.</w:t>
      </w:r>
    </w:p>
    <w:p>
      <w:pPr>
        <w:pStyle w:val="ListParagraph"/>
        <w:numPr>
          <w:ilvl w:val="0"/>
          <w:numId w:val="2"/>
        </w:numPr>
      </w:pPr>
      <w:r>
        <w:t xml:space="preserve">Assessment of air, water, noise, and odour impacts and residual waste management, with corresponding prevention and mitigation measures.</w:t>
      </w:r>
    </w:p>
    <w:p>
      <w:pPr>
        <w:pStyle w:val="ListParagraph"/>
        <w:numPr>
          <w:ilvl w:val="0"/>
          <w:numId w:val="2"/>
        </w:numPr>
      </w:pPr>
      <w:r>
        <w:t xml:space="preserve">Stakeholder analysis, community engagement planning, and securing the social license to operate.</w:t>
      </w:r>
    </w:p>
    <w:p>
      <w:pPr>
        <w:pStyle w:val="ListParagraph"/>
        <w:numPr>
          <w:ilvl w:val="0"/>
          <w:numId w:val="2"/>
        </w:numPr>
      </w:pPr>
      <w:r>
        <w:t xml:space="preserve">Appraisal of greenhouse gas abatement potential and monetization opportunities via carbon credit mechanisms and Renewable Energy Certificates (RECs).</w:t>
      </w:r>
    </w:p>
    <w:p>
      <w:pPr>
        <w:pStyle w:val="Heading2"/>
      </w:pPr>
      <w:r>
        <w:t xml:space="preserve">4.5 Financial and Economic Feasibility</w:t>
      </w:r>
    </w:p>
    <w:p>
      <w:pPr>
        <w:pStyle w:val="ListParagraph"/>
        <w:numPr>
          <w:ilvl w:val="0"/>
          <w:numId w:val="2"/>
        </w:numPr>
      </w:pPr>
      <w:r>
        <w:t xml:space="preserve">Estimation of capital expenditure (CAPEX), operating expenditure (OPEX), and the Levelized Cost of Electricity (LCOE).</w:t>
      </w:r>
    </w:p>
    <w:p>
      <w:pPr>
        <w:pStyle w:val="ListParagraph"/>
        <w:numPr>
          <w:ilvl w:val="0"/>
          <w:numId w:val="2"/>
        </w:numPr>
      </w:pPr>
      <w:r>
        <w:t xml:space="preserve">Construction of a discounted cash flow financial model and pro forma financial statements over the project lifetime.</w:t>
      </w:r>
    </w:p>
    <w:p>
      <w:pPr>
        <w:pStyle w:val="ListParagraph"/>
        <w:numPr>
          <w:ilvl w:val="0"/>
          <w:numId w:val="2"/>
        </w:numPr>
      </w:pPr>
      <w:r>
        <w:t xml:space="preserve">Investment appraisal against principal metrics: Net Present Value (NPV), Project and Equity Internal Rates of Return (IRR), Payback and Discounted Payback Periods, and the Debt Service Coverage Ratio (DSCR).</w:t>
      </w:r>
    </w:p>
    <w:p>
      <w:pPr>
        <w:pStyle w:val="ListParagraph"/>
        <w:numPr>
          <w:ilvl w:val="0"/>
          <w:numId w:val="2"/>
        </w:numPr>
      </w:pPr>
      <w:r>
        <w:t xml:space="preserve">Sensitivity and scenario analyses with respect to key value drivers, e.g., fuel prices, utilization rates, interest rates, and capital costs.</w:t>
      </w:r>
    </w:p>
    <w:p>
      <w:pPr>
        <w:pStyle w:val="ListParagraph"/>
        <w:numPr>
          <w:ilvl w:val="0"/>
          <w:numId w:val="2"/>
        </w:numPr>
      </w:pPr>
      <w:r>
        <w:t xml:space="preserve">Determination of the optimal capital structure and debt-to-equity ratio, and evaluation of financing alternatives, including green finance instruments (e.g., green bonds and sustainability-linked loans).</w:t>
      </w:r>
    </w:p>
    <w:p>
      <w:pPr>
        <w:pStyle w:val="Heading2"/>
      </w:pPr>
      <w:r>
        <w:t xml:space="preserve">4.6 Risk Assessment</w:t>
      </w:r>
    </w:p>
    <w:p>
      <w:pPr>
        <w:pStyle w:val="ListParagraph"/>
        <w:numPr>
          <w:ilvl w:val="0"/>
          <w:numId w:val="2"/>
        </w:numPr>
      </w:pPr>
      <w:r>
        <w:t xml:space="preserve">Risk identification, analysis, and evaluation spanning development, construction, operational, market, financial, regulatory, and technology risk categories.</w:t>
      </w:r>
    </w:p>
    <w:p>
      <w:pPr>
        <w:pStyle w:val="ListParagraph"/>
        <w:numPr>
          <w:ilvl w:val="0"/>
          <w:numId w:val="2"/>
        </w:numPr>
      </w:pPr>
      <w:r>
        <w:t xml:space="preserve">Compilation of a risk register and risk matrix, with mitigation measures and contingency plans.</w:t>
      </w:r>
    </w:p>
    <w:p>
      <w:pPr>
        <w:pStyle w:val="ListParagraph"/>
        <w:numPr>
          <w:ilvl w:val="0"/>
          <w:numId w:val="2"/>
        </w:numPr>
      </w:pPr>
      <w:r>
        <w:t xml:space="preserve">Analysis of contractual risk allocation and project insurance strategy.</w:t>
      </w:r>
    </w:p>
    <w:p>
      <w:pPr>
        <w:pStyle w:val="Heading2"/>
      </w:pPr>
      <w:r>
        <w:t xml:space="preserve">4.7 Organizational and Management Feasibility</w:t>
      </w:r>
    </w:p>
    <w:p>
      <w:pPr>
        <w:pStyle w:val="ListParagraph"/>
        <w:numPr>
          <w:ilvl w:val="0"/>
          <w:numId w:val="2"/>
        </w:numPr>
      </w:pPr>
      <w:r>
        <w:t xml:space="preserve">Design of the project legal vehicle (Special Purpose Vehicle: SPV) and shareholding structure.</w:t>
      </w:r>
    </w:p>
    <w:p>
      <w:pPr>
        <w:pStyle w:val="ListParagraph"/>
        <w:numPr>
          <w:ilvl w:val="0"/>
          <w:numId w:val="2"/>
        </w:numPr>
      </w:pPr>
      <w:r>
        <w:t xml:space="preserve">Assessment of organizational capabilities, human resource requirements, and capacity development plans.</w:t>
      </w:r>
    </w:p>
    <w:p>
      <w:pPr>
        <w:pStyle w:val="ListParagraph"/>
        <w:numPr>
          <w:ilvl w:val="0"/>
          <w:numId w:val="2"/>
        </w:numPr>
      </w:pPr>
      <w:r>
        <w:t xml:space="preserve">Definition of project governance structures, management arrangements, and key performance indicators (KPIs).</w:t>
      </w:r>
    </w:p>
    <w:p>
      <w:r>
        <w:br w:type="page"/>
      </w:r>
    </w:p>
    <w:p>
      <w:pPr>
        <w:pStyle w:val="Heading1"/>
      </w:pPr>
      <w:r>
        <w:t xml:space="preserve">5. Project-Specific Scope of Study</w:t>
      </w:r>
    </w:p>
    <w:p>
      <w:pPr>
        <w:pStyle w:val="Heading2"/>
      </w:pPr>
      <w:r>
        <w:t xml:space="preserve">5.1 Biomass Power Plant</w:t>
      </w:r>
    </w:p>
    <w:p>
      <w:pPr>
        <w:pStyle w:val="ListParagraph"/>
        <w:numPr>
          <w:ilvl w:val="0"/>
          <w:numId w:val="2"/>
        </w:numPr>
      </w:pPr>
      <w:r>
        <w:t xml:space="preserve">Spatial biomass resource assessment within an economically viable haulage radius, covering feedstock types, volumes, seasonality, heating values, moisture content, and price dynamics.</w:t>
      </w:r>
    </w:p>
    <w:p>
      <w:pPr>
        <w:pStyle w:val="ListParagraph"/>
        <w:numPr>
          <w:ilvl w:val="0"/>
          <w:numId w:val="2"/>
        </w:numPr>
      </w:pPr>
      <w:r>
        <w:t xml:space="preserve">Fuel supply chain security analysis, long-term feedstock contracting strategy, and appraisal of feedstock competition risk.</w:t>
      </w:r>
    </w:p>
    <w:p>
      <w:pPr>
        <w:pStyle w:val="ListParagraph"/>
        <w:numPr>
          <w:ilvl w:val="0"/>
          <w:numId w:val="2"/>
        </w:numPr>
      </w:pPr>
      <w:r>
        <w:t xml:space="preserve">Comparative evaluation of conversion technologies—direct combustion (stoker and fluidized-bed configurations) and gasification—and determination of the capacity size commensurate with sustainable feedstock availability.</w:t>
      </w:r>
    </w:p>
    <w:p>
      <w:pPr>
        <w:pStyle w:val="ListParagraph"/>
        <w:numPr>
          <w:ilvl w:val="0"/>
          <w:numId w:val="2"/>
        </w:numPr>
      </w:pPr>
      <w:r>
        <w:t xml:space="preserve">Evaluation of offtake modalities: grid sales under the renewable energy procurement regulations at FiT rates, direct industrial supply, and cogeneration potential.</w:t>
      </w:r>
    </w:p>
    <w:p>
      <w:pPr>
        <w:pStyle w:val="ListParagraph"/>
        <w:numPr>
          <w:ilvl w:val="0"/>
          <w:numId w:val="2"/>
        </w:numPr>
      </w:pPr>
      <w:r>
        <w:t xml:space="preserve">Assessment of venture-specific environmental requirements, including particulate emission control, ash management, and water utilization.</w:t>
      </w:r>
    </w:p>
    <w:p>
      <w:pPr>
        <w:pStyle w:val="Heading2"/>
      </w:pPr>
      <w:r>
        <w:t xml:space="preserve">5.2 Waste-to-Energy Power Plant</w:t>
      </w:r>
    </w:p>
    <w:p>
      <w:pPr>
        <w:pStyle w:val="ListParagraph"/>
        <w:numPr>
          <w:ilvl w:val="0"/>
          <w:numId w:val="2"/>
        </w:numPr>
      </w:pPr>
      <w:r>
        <w:t xml:space="preserve">Waste characterization study encompassing physical composition, calorific value, moisture content, and long-term projections of assured waste throughput.</w:t>
      </w:r>
    </w:p>
    <w:p>
      <w:pPr>
        <w:pStyle w:val="ListParagraph"/>
        <w:numPr>
          <w:ilvl w:val="0"/>
          <w:numId w:val="2"/>
        </w:numPr>
      </w:pPr>
      <w:r>
        <w:t xml:space="preserve">Analysis of cooperation frameworks with Local Administrative Organizations, Public-Private Partnership structures, tipping fee arrangements, and concession terms.</w:t>
      </w:r>
    </w:p>
    <w:p>
      <w:pPr>
        <w:pStyle w:val="ListParagraph"/>
        <w:numPr>
          <w:ilvl w:val="0"/>
          <w:numId w:val="2"/>
        </w:numPr>
      </w:pPr>
      <w:r>
        <w:t xml:space="preserve">Comparative evaluation of conversion technologies: moving-grate incineration, refuse-derived fuel (RDF) production, gasification, and anaerobic digestion for the organic fraction.</w:t>
      </w:r>
    </w:p>
    <w:p>
      <w:pPr>
        <w:pStyle w:val="ListParagraph"/>
        <w:numPr>
          <w:ilvl w:val="0"/>
          <w:numId w:val="2"/>
        </w:numPr>
      </w:pPr>
      <w:r>
        <w:t xml:space="preserve">Analysis of the dual revenue structure comprising tipping fees and electricity sales at the MSW-specific FiT rate</w:t>
      </w:r>
      <w:r>
        <w:rPr>
          <w:rStyle w:val="FootnoteReference"/>
        </w:rPr>
        <w:footnoteReference w:id="8"/>
      </w:r>
      <w:r>
        <w:t xml:space="preserve">.</w:t>
      </w:r>
    </w:p>
    <w:p>
      <w:pPr>
        <w:pStyle w:val="ListParagraph"/>
        <w:numPr>
          <w:ilvl w:val="0"/>
          <w:numId w:val="2"/>
        </w:numPr>
      </w:pPr>
      <w:r>
        <w:t xml:space="preserve">Assessment of advanced pollution control requirements—notably dioxins and furans, heavy metals, and bottom/fly ash management—and of community acceptance considerations.</w:t>
      </w:r>
    </w:p>
    <w:p>
      <w:pPr>
        <w:pStyle w:val="Heading2"/>
      </w:pPr>
      <w:r>
        <w:t xml:space="preserve">5.3 Private PPA Solar Investorship</w:t>
      </w:r>
    </w:p>
    <w:p>
      <w:pPr>
        <w:pStyle w:val="ListParagraph"/>
        <w:numPr>
          <w:ilvl w:val="0"/>
          <w:numId w:val="2"/>
        </w:numPr>
      </w:pPr>
      <w:r>
        <w:t xml:space="preserve">Target market analysis and off-taker screening with reference to electricity consumption volume, load profile, creditworthiness, and appropriate contract tenor.</w:t>
      </w:r>
    </w:p>
    <w:p>
      <w:pPr>
        <w:pStyle w:val="ListParagraph"/>
        <w:numPr>
          <w:ilvl w:val="0"/>
          <w:numId w:val="2"/>
        </w:numPr>
      </w:pPr>
      <w:r>
        <w:t xml:space="preserve">Structuring of the Private PPA: discount-to-grid tariff design, minimum take obligations, tariff escalation provisions, and end-of-term transfer arrangements.</w:t>
      </w:r>
    </w:p>
    <w:p>
      <w:pPr>
        <w:pStyle w:val="ListParagraph"/>
        <w:numPr>
          <w:ilvl w:val="0"/>
          <w:numId w:val="2"/>
        </w:numPr>
      </w:pPr>
      <w:r>
        <w:t xml:space="preserve">Site-level technical appraisal: solar irradiation, rooftop or land availability, structural adequacy, and self-consumption ratios.</w:t>
      </w:r>
    </w:p>
    <w:p>
      <w:pPr>
        <w:pStyle w:val="ListParagraph"/>
        <w:numPr>
          <w:ilvl w:val="0"/>
          <w:numId w:val="2"/>
        </w:numPr>
      </w:pPr>
      <w:r>
        <w:t xml:space="preserve">Analysis of venture-specific risks: counterparty credit risk, tariff structure reform risk, and the implications of Direct PPA liberalization and Third Party Access (TPA) to the grid</w:t>
      </w:r>
      <w:r>
        <w:rPr>
          <w:rStyle w:val="FootnoteReference"/>
        </w:rPr>
        <w:footnoteReference w:id="9"/>
      </w:r>
      <w:r>
        <w:t xml:space="preserve">.</w:t>
      </w:r>
    </w:p>
    <w:p>
      <w:pPr>
        <w:pStyle w:val="ListParagraph"/>
        <w:numPr>
          <w:ilvl w:val="0"/>
          <w:numId w:val="2"/>
        </w:numPr>
      </w:pPr>
      <w:r>
        <w:t xml:space="preserve">Appraisal of value-accretive extensions, including Battery Energy Storage Systems (BESS) and REC monetization.</w:t>
      </w:r>
    </w:p>
    <w:p>
      <w:pPr>
        <w:pStyle w:val="Heading2"/>
      </w:pPr>
      <w:r>
        <w:t xml:space="preserve">5.4 EV Charging Station Business</w:t>
      </w:r>
    </w:p>
    <w:p>
      <w:pPr>
        <w:pStyle w:val="ListParagraph"/>
        <w:numPr>
          <w:ilvl w:val="0"/>
          <w:numId w:val="2"/>
        </w:numPr>
      </w:pPr>
      <w:r>
        <w:t xml:space="preserve">Area-level EV adoption forecasting and charging behaviour analysis.</w:t>
      </w:r>
    </w:p>
    <w:p>
      <w:pPr>
        <w:pStyle w:val="ListParagraph"/>
        <w:numPr>
          <w:ilvl w:val="0"/>
          <w:numId w:val="2"/>
        </w:numPr>
      </w:pPr>
      <w:r>
        <w:t xml:space="preserve">Strategic location analytics with reference to traffic volumes, destination typologies, dwell times, and upstream electrical capacity.</w:t>
      </w:r>
    </w:p>
    <w:p>
      <w:pPr>
        <w:pStyle w:val="ListParagraph"/>
        <w:numPr>
          <w:ilvl w:val="0"/>
          <w:numId w:val="2"/>
        </w:numPr>
      </w:pPr>
      <w:r>
        <w:t xml:space="preserve">Determination of the optimal charger mix between AC and DC fast charging, connector standards, and the Charging Station Management System (CSMS).</w:t>
      </w:r>
    </w:p>
    <w:p>
      <w:pPr>
        <w:pStyle w:val="ListParagraph"/>
        <w:numPr>
          <w:ilvl w:val="0"/>
          <w:numId w:val="2"/>
        </w:numPr>
      </w:pPr>
      <w:r>
        <w:t xml:space="preserve">Analysis of electricity cost structures, including the Low Priority tariff applicable to charging stations</w:t>
      </w:r>
      <w:r>
        <w:rPr>
          <w:rStyle w:val="FootnoteReference"/>
        </w:rPr>
        <w:footnoteReference w:id="10"/>
      </w:r>
      <w:r>
        <w:t xml:space="preserve">, demand charges, and load management strategies.</w:t>
      </w:r>
    </w:p>
    <w:p>
      <w:pPr>
        <w:pStyle w:val="ListParagraph"/>
        <w:numPr>
          <w:ilvl w:val="0"/>
          <w:numId w:val="2"/>
        </w:numPr>
      </w:pPr>
      <w:r>
        <w:t xml:space="preserve">Estimation of utilization rates, station-level break-even thresholds, and network expansion modelling, together with ancillary revenue streams.</w:t>
      </w:r>
    </w:p>
    <w:p>
      <w:r>
        <w:br w:type="page"/>
      </w:r>
    </w:p>
    <w:p>
      <w:pPr>
        <w:pStyle w:val="Heading1"/>
      </w:pPr>
      <w:r>
        <w:t xml:space="preserve">6. Methodology</w:t>
      </w:r>
    </w:p>
    <w:p>
      <w:pPr>
        <w:pStyle w:val="Heading2"/>
      </w:pPr>
      <w:r>
        <w:t xml:space="preserve">6.1 Data Collection</w:t>
      </w:r>
    </w:p>
    <w:p>
      <w:pPr>
        <w:pStyle w:val="ListParagraph"/>
        <w:numPr>
          <w:ilvl w:val="0"/>
          <w:numId w:val="2"/>
        </w:numPr>
      </w:pPr>
      <w:r>
        <w:t xml:space="preserve">Secondary data: literature review, academic publications, industry reports, official statistics, national energy plans, and regulatory notifications and codes, together with a project-level database of facilities located in Thailand and registered with government agencies, structured as prescribed in Annex B.</w:t>
      </w:r>
      <w:r>
        <w:rPr>
          <w:rStyle w:val="FootnoteReference"/>
        </w:rPr>
        <w:footnoteReference w:id="11"/>
      </w:r>
    </w:p>
    <w:p>
      <w:pPr>
        <w:pStyle w:val="ListParagraph"/>
        <w:numPr>
          <w:ilvl w:val="0"/>
          <w:numId w:val="2"/>
        </w:numPr>
      </w:pPr>
      <w:r>
        <w:t xml:space="preserve">Primary data: in-depth stakeholder and expert interviews, field surveys, candidate site assessments, and consultations with relevant public authorities.</w:t>
      </w:r>
    </w:p>
    <w:p>
      <w:pPr>
        <w:pStyle w:val="Heading2"/>
      </w:pPr>
      <w:r>
        <w:t xml:space="preserve">6.2 Analytical Framework</w:t>
      </w:r>
    </w:p>
    <w:p>
      <w:pPr>
        <w:pStyle w:val="ListParagraph"/>
        <w:numPr>
          <w:ilvl w:val="0"/>
          <w:numId w:val="2"/>
        </w:numPr>
      </w:pPr>
      <w:r>
        <w:t xml:space="preserve">Qualitative analysis: PESTEL analysis, SWOT analysis, and Porter’s Five Forces analysis.</w:t>
      </w:r>
    </w:p>
    <w:p>
      <w:pPr>
        <w:pStyle w:val="ListParagraph"/>
        <w:numPr>
          <w:ilvl w:val="0"/>
          <w:numId w:val="2"/>
        </w:numPr>
      </w:pPr>
      <w:r>
        <w:t xml:space="preserve">Quantitative analysis: discounted cash flow (DCF) financial modelling, sensitivity analysis, scenario analysis, and break-even analysis.</w:t>
      </w:r>
    </w:p>
    <w:p>
      <w:pPr>
        <w:pStyle w:val="ListParagraph"/>
        <w:numPr>
          <w:ilvl w:val="0"/>
          <w:numId w:val="2"/>
        </w:numPr>
      </w:pPr>
      <w:r>
        <w:t xml:space="preserve">Venture prioritization via Multi-Criteria Decision Analysis (MCDA).</w:t>
      </w:r>
    </w:p>
    <w:p>
      <w:pPr>
        <w:pStyle w:val="Heading2"/>
      </w:pPr>
      <w:r>
        <w:t xml:space="preserve">6.3 Quality Assurance</w:t>
      </w:r>
    </w:p>
    <w:p>
      <w:pPr>
        <w:pStyle w:val="ListParagraph"/>
        <w:numPr>
          <w:ilvl w:val="0"/>
          <w:numId w:val="2"/>
        </w:numPr>
      </w:pPr>
      <w:r>
        <w:t xml:space="preserve">Data triangulation, independent expert review, and interim presentations to the Study Steering Committee for validation and feedback.</w:t>
      </w:r>
    </w:p>
    <w:p>
      <w:pPr>
        <w:pStyle w:val="Heading1"/>
      </w:pPr>
      <w:r>
        <w:t xml:space="preserve">7. Feasibility Evaluation and Investment Decision Criteria</w:t>
      </w:r>
    </w:p>
    <w:p>
      <w:pPr>
        <w:jc w:val="thaiDistribute"/>
      </w:pPr>
      <w:r>
        <w:t xml:space="preserve">Each venture shall be appraised against the following hurdle criteria: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00"/>
      </w:tblGrid>
      <w:tr>
        <w:trPr>
          <w:tblHeader/>
        </w:trPr>
        <w:tc>
          <w:tcPr>
            <w:tcW w:type="dxa" w:w="2300"/>
            <w:shd w:fill="D9E2F3" w:val="clear"/>
            <w:tcMar>
              <w:top w:type="dxa" w:w="60"/>
              <w:left w:type="dxa" w:w="100"/>
              <w:bottom w:type="dxa" w:w="60"/>
              <w:right w:type="dxa" w:w="100"/>
            </w:tcMar>
          </w:tcPr>
          <w:p>
            <w:r>
              <w:rPr>
                <w:b/>
                <w:bCs/>
              </w:rPr>
              <w:t xml:space="preserve">Criterion</w:t>
            </w:r>
          </w:p>
        </w:tc>
        <w:tc>
          <w:tcPr>
            <w:tcW w:type="dxa" w:w="3500"/>
            <w:shd w:fill="D9E2F3" w:val="clear"/>
            <w:tcMar>
              <w:top w:type="dxa" w:w="60"/>
              <w:left w:type="dxa" w:w="100"/>
              <w:bottom w:type="dxa" w:w="60"/>
              <w:right w:type="dxa" w:w="100"/>
            </w:tcMar>
          </w:tcPr>
          <w:p>
            <w:r>
              <w:rPr>
                <w:b/>
                <w:bCs/>
              </w:rPr>
              <w:t xml:space="preserve">Indicator</w:t>
            </w:r>
          </w:p>
        </w:tc>
        <w:tc>
          <w:tcPr>
            <w:tcW w:type="dxa" w:w="3500"/>
            <w:shd w:fill="D9E2F3" w:val="clear"/>
            <w:tcMar>
              <w:top w:type="dxa" w:w="60"/>
              <w:left w:type="dxa" w:w="100"/>
              <w:bottom w:type="dxa" w:w="60"/>
              <w:right w:type="dxa" w:w="100"/>
            </w:tcMar>
          </w:tcPr>
          <w:p>
            <w:r>
              <w:rPr>
                <w:b/>
                <w:bCs/>
              </w:rPr>
              <w:t xml:space="preserve">Threshold (Indicative)</w:t>
            </w:r>
          </w:p>
        </w:tc>
      </w:tr>
      <w:tr>
        <w:tc>
          <w:tcPr>
            <w:tcW w:type="dxa" w:w="2300"/>
            <w:tcMar>
              <w:top w:type="dxa" w:w="60"/>
              <w:left w:type="dxa" w:w="100"/>
              <w:bottom w:type="dxa" w:w="60"/>
              <w:right w:type="dxa" w:w="100"/>
            </w:tcMar>
          </w:tcPr>
          <w:p>
            <w:r>
              <w:rPr>
                <w:b w:val="false"/>
                <w:bCs w:val="false"/>
              </w:rPr>
              <w:t xml:space="preserve">Financial viability</w:t>
            </w:r>
          </w:p>
        </w:tc>
        <w:tc>
          <w:tcPr>
            <w:tcW w:type="dxa" w:w="3500"/>
            <w:tcMar>
              <w:top w:type="dxa" w:w="60"/>
              <w:left w:type="dxa" w:w="100"/>
              <w:bottom w:type="dxa" w:w="60"/>
              <w:right w:type="dxa" w:w="100"/>
            </w:tcMar>
          </w:tcPr>
          <w:p>
            <w:r>
              <w:rPr>
                <w:b w:val="false"/>
                <w:bCs w:val="false"/>
              </w:rPr>
              <w:t xml:space="preserve">NPV discounted at the Weighted Average Cost of Capital (WACC)</w:t>
            </w:r>
          </w:p>
        </w:tc>
        <w:tc>
          <w:tcPr>
            <w:tcW w:type="dxa" w:w="3500"/>
            <w:tcMar>
              <w:top w:type="dxa" w:w="60"/>
              <w:left w:type="dxa" w:w="100"/>
              <w:bottom w:type="dxa" w:w="60"/>
              <w:right w:type="dxa" w:w="100"/>
            </w:tcMar>
          </w:tcPr>
          <w:p>
            <w:r>
              <w:rPr>
                <w:b w:val="false"/>
                <w:bCs w:val="false"/>
              </w:rPr>
              <w:t xml:space="preserve">Positive NPV</w:t>
            </w:r>
          </w:p>
        </w:tc>
      </w:tr>
      <w:tr>
        <w:tc>
          <w:tcPr>
            <w:tcW w:type="dxa" w:w="2300"/>
            <w:tcMar>
              <w:top w:type="dxa" w:w="60"/>
              <w:left w:type="dxa" w:w="100"/>
              <w:bottom w:type="dxa" w:w="60"/>
              <w:right w:type="dxa" w:w="100"/>
            </w:tcMar>
          </w:tcPr>
          <w:p>
            <w:r>
              <w:rPr>
                <w:b w:val="false"/>
                <w:bCs w:val="false"/>
              </w:rPr>
              <w:t xml:space="preserve">Rate of return</w:t>
            </w:r>
          </w:p>
        </w:tc>
        <w:tc>
          <w:tcPr>
            <w:tcW w:type="dxa" w:w="3500"/>
            <w:tcMar>
              <w:top w:type="dxa" w:w="60"/>
              <w:left w:type="dxa" w:w="100"/>
              <w:bottom w:type="dxa" w:w="60"/>
              <w:right w:type="dxa" w:w="100"/>
            </w:tcMar>
          </w:tcPr>
          <w:p>
            <w:r>
              <w:rPr>
                <w:b w:val="false"/>
                <w:bCs w:val="false"/>
              </w:rPr>
              <w:t xml:space="preserve">Project IRR / Equity IRR</w:t>
            </w:r>
          </w:p>
        </w:tc>
        <w:tc>
          <w:tcPr>
            <w:tcW w:type="dxa" w:w="3500"/>
            <w:tcMar>
              <w:top w:type="dxa" w:w="60"/>
              <w:left w:type="dxa" w:w="100"/>
              <w:bottom w:type="dxa" w:w="60"/>
              <w:right w:type="dxa" w:w="100"/>
            </w:tcMar>
          </w:tcPr>
          <w:p>
            <w:r>
              <w:rPr>
                <w:b w:val="false"/>
                <w:bCs w:val="false"/>
              </w:rPr>
              <w:t xml:space="preserve">Exceeds WACC and the corporate hurdle rate</w:t>
            </w:r>
          </w:p>
        </w:tc>
      </w:tr>
      <w:tr>
        <w:tc>
          <w:tcPr>
            <w:tcW w:type="dxa" w:w="2300"/>
            <w:tcMar>
              <w:top w:type="dxa" w:w="60"/>
              <w:left w:type="dxa" w:w="100"/>
              <w:bottom w:type="dxa" w:w="60"/>
              <w:right w:type="dxa" w:w="100"/>
            </w:tcMar>
          </w:tcPr>
          <w:p>
            <w:r>
              <w:rPr>
                <w:b w:val="false"/>
                <w:bCs w:val="false"/>
              </w:rPr>
              <w:t xml:space="preserve">Debt serviceability</w:t>
            </w:r>
          </w:p>
        </w:tc>
        <w:tc>
          <w:tcPr>
            <w:tcW w:type="dxa" w:w="3500"/>
            <w:tcMar>
              <w:top w:type="dxa" w:w="60"/>
              <w:left w:type="dxa" w:w="100"/>
              <w:bottom w:type="dxa" w:w="60"/>
              <w:right w:type="dxa" w:w="100"/>
            </w:tcMar>
          </w:tcPr>
          <w:p>
            <w:r>
              <w:rPr>
                <w:b w:val="false"/>
                <w:bCs w:val="false"/>
              </w:rPr>
              <w:t xml:space="preserve">Minimum and average DSCR</w:t>
            </w:r>
          </w:p>
        </w:tc>
        <w:tc>
          <w:tcPr>
            <w:tcW w:type="dxa" w:w="3500"/>
            <w:tcMar>
              <w:top w:type="dxa" w:w="60"/>
              <w:left w:type="dxa" w:w="100"/>
              <w:bottom w:type="dxa" w:w="60"/>
              <w:right w:type="dxa" w:w="100"/>
            </w:tcMar>
          </w:tcPr>
          <w:p>
            <w:r>
              <w:rPr>
                <w:b w:val="false"/>
                <w:bCs w:val="false"/>
              </w:rPr>
              <w:t xml:space="preserve">Not below lender covenant levels (customarily ≥ 1.2x)</w:t>
            </w:r>
          </w:p>
        </w:tc>
      </w:tr>
      <w:tr>
        <w:tc>
          <w:tcPr>
            <w:tcW w:type="dxa" w:w="2300"/>
            <w:tcMar>
              <w:top w:type="dxa" w:w="60"/>
              <w:left w:type="dxa" w:w="100"/>
              <w:bottom w:type="dxa" w:w="60"/>
              <w:right w:type="dxa" w:w="100"/>
            </w:tcMar>
          </w:tcPr>
          <w:p>
            <w:r>
              <w:rPr>
                <w:b w:val="false"/>
                <w:bCs w:val="false"/>
              </w:rPr>
              <w:t xml:space="preserve">Capital recovery</w:t>
            </w:r>
          </w:p>
        </w:tc>
        <w:tc>
          <w:tcPr>
            <w:tcW w:type="dxa" w:w="3500"/>
            <w:tcMar>
              <w:top w:type="dxa" w:w="60"/>
              <w:left w:type="dxa" w:w="100"/>
              <w:bottom w:type="dxa" w:w="60"/>
              <w:right w:type="dxa" w:w="100"/>
            </w:tcMar>
          </w:tcPr>
          <w:p>
            <w:r>
              <w:rPr>
                <w:b w:val="false"/>
                <w:bCs w:val="false"/>
              </w:rPr>
              <w:t xml:space="preserve">Payback Period</w:t>
            </w:r>
          </w:p>
        </w:tc>
        <w:tc>
          <w:tcPr>
            <w:tcW w:type="dxa" w:w="3500"/>
            <w:tcMar>
              <w:top w:type="dxa" w:w="60"/>
              <w:left w:type="dxa" w:w="100"/>
              <w:bottom w:type="dxa" w:w="60"/>
              <w:right w:type="dxa" w:w="100"/>
            </w:tcMar>
          </w:tcPr>
          <w:p>
            <w:r>
              <w:rPr>
                <w:b w:val="false"/>
                <w:bCs w:val="false"/>
              </w:rPr>
              <w:t xml:space="preserve">Within the corporately acceptable horizon relative to project life</w:t>
            </w:r>
          </w:p>
        </w:tc>
      </w:tr>
      <w:tr>
        <w:tc>
          <w:tcPr>
            <w:tcW w:type="dxa" w:w="2300"/>
            <w:tcMar>
              <w:top w:type="dxa" w:w="60"/>
              <w:left w:type="dxa" w:w="100"/>
              <w:bottom w:type="dxa" w:w="60"/>
              <w:right w:type="dxa" w:w="100"/>
            </w:tcMar>
          </w:tcPr>
          <w:p>
            <w:r>
              <w:rPr>
                <w:b w:val="false"/>
                <w:bCs w:val="false"/>
              </w:rPr>
              <w:t xml:space="preserve">Technical feasibility</w:t>
            </w:r>
          </w:p>
        </w:tc>
        <w:tc>
          <w:tcPr>
            <w:tcW w:type="dxa" w:w="3500"/>
            <w:tcMar>
              <w:top w:type="dxa" w:w="60"/>
              <w:left w:type="dxa" w:w="100"/>
              <w:bottom w:type="dxa" w:w="60"/>
              <w:right w:type="dxa" w:w="100"/>
            </w:tcMar>
          </w:tcPr>
          <w:p>
            <w:r>
              <w:rPr>
                <w:b w:val="false"/>
                <w:bCs w:val="false"/>
              </w:rPr>
              <w:t xml:space="preserve">Technology maturity, site suitability, grid interconnection</w:t>
            </w:r>
          </w:p>
        </w:tc>
        <w:tc>
          <w:tcPr>
            <w:tcW w:type="dxa" w:w="3500"/>
            <w:tcMar>
              <w:top w:type="dxa" w:w="60"/>
              <w:left w:type="dxa" w:w="100"/>
              <w:bottom w:type="dxa" w:w="60"/>
              <w:right w:type="dxa" w:w="100"/>
            </w:tcMar>
          </w:tcPr>
          <w:p>
            <w:r>
              <w:rPr>
                <w:b w:val="false"/>
                <w:bCs w:val="false"/>
              </w:rPr>
              <w:t xml:space="preserve">No material technical impediments</w:t>
            </w:r>
          </w:p>
        </w:tc>
      </w:tr>
      <w:tr>
        <w:tc>
          <w:tcPr>
            <w:tcW w:type="dxa" w:w="2300"/>
            <w:tcMar>
              <w:top w:type="dxa" w:w="60"/>
              <w:left w:type="dxa" w:w="100"/>
              <w:bottom w:type="dxa" w:w="60"/>
              <w:right w:type="dxa" w:w="100"/>
            </w:tcMar>
          </w:tcPr>
          <w:p>
            <w:r>
              <w:rPr>
                <w:b w:val="false"/>
                <w:bCs w:val="false"/>
              </w:rPr>
              <w:t xml:space="preserve">Legal feasibility</w:t>
            </w:r>
          </w:p>
        </w:tc>
        <w:tc>
          <w:tcPr>
            <w:tcW w:type="dxa" w:w="3500"/>
            <w:tcMar>
              <w:top w:type="dxa" w:w="60"/>
              <w:left w:type="dxa" w:w="100"/>
              <w:bottom w:type="dxa" w:w="60"/>
              <w:right w:type="dxa" w:w="100"/>
            </w:tcMar>
          </w:tcPr>
          <w:p>
            <w:r>
              <w:rPr>
                <w:b w:val="false"/>
                <w:bCs w:val="false"/>
              </w:rPr>
              <w:t xml:space="preserve">Completeness of permits and regulatory conformity</w:t>
            </w:r>
          </w:p>
        </w:tc>
        <w:tc>
          <w:tcPr>
            <w:tcW w:type="dxa" w:w="3500"/>
            <w:tcMar>
              <w:top w:type="dxa" w:w="60"/>
              <w:left w:type="dxa" w:w="100"/>
              <w:bottom w:type="dxa" w:w="60"/>
              <w:right w:type="dxa" w:w="100"/>
            </w:tcMar>
          </w:tcPr>
          <w:p>
            <w:r>
              <w:rPr>
                <w:b w:val="false"/>
                <w:bCs w:val="false"/>
              </w:rPr>
              <w:t xml:space="preserve">All licences obtainable within the planned timeline</w:t>
            </w:r>
          </w:p>
        </w:tc>
      </w:tr>
      <w:tr>
        <w:tc>
          <w:tcPr>
            <w:tcW w:type="dxa" w:w="2300"/>
            <w:tcMar>
              <w:top w:type="dxa" w:w="60"/>
              <w:left w:type="dxa" w:w="100"/>
              <w:bottom w:type="dxa" w:w="60"/>
              <w:right w:type="dxa" w:w="100"/>
            </w:tcMar>
          </w:tcPr>
          <w:p>
            <w:r>
              <w:rPr>
                <w:b w:val="false"/>
                <w:bCs w:val="false"/>
              </w:rPr>
              <w:t xml:space="preserve">Sustainability</w:t>
            </w:r>
          </w:p>
        </w:tc>
        <w:tc>
          <w:tcPr>
            <w:tcW w:type="dxa" w:w="3500"/>
            <w:tcMar>
              <w:top w:type="dxa" w:w="60"/>
              <w:left w:type="dxa" w:w="100"/>
              <w:bottom w:type="dxa" w:w="60"/>
              <w:right w:type="dxa" w:w="100"/>
            </w:tcMar>
          </w:tcPr>
          <w:p>
            <w:r>
              <w:rPr>
                <w:b w:val="false"/>
                <w:bCs w:val="false"/>
              </w:rPr>
              <w:t xml:space="preserve">Environmental and social impacts; community acceptance</w:t>
            </w:r>
          </w:p>
        </w:tc>
        <w:tc>
          <w:tcPr>
            <w:tcW w:type="dxa" w:w="3500"/>
            <w:tcMar>
              <w:top w:type="dxa" w:w="60"/>
              <w:left w:type="dxa" w:w="100"/>
              <w:bottom w:type="dxa" w:w="60"/>
              <w:right w:type="dxa" w:w="100"/>
            </w:tcMar>
          </w:tcPr>
          <w:p>
            <w:r>
              <w:rPr>
                <w:b w:val="false"/>
                <w:bCs w:val="false"/>
              </w:rPr>
              <w:t xml:space="preserve">Compliance with environmental requirements and acceptance by key stakeholders</w:t>
            </w:r>
          </w:p>
        </w:tc>
      </w:tr>
    </w:tbl>
    <w:p>
      <w:pPr>
        <w:jc w:val="thaiDistribute"/>
      </w:pPr>
      <w:r>
        <w:t xml:space="preserve"/>
      </w:r>
    </w:p>
    <w:p>
      <w:pPr>
        <w:jc w:val="thaiDistribute"/>
      </w:pPr>
      <w:r>
        <w:t xml:space="preserve">The quantitative thresholds shall be confirmed jointly with executive management during the Inception Phase.</w:t>
      </w:r>
    </w:p>
    <w:p>
      <w:pPr>
        <w:pStyle w:val="Heading1"/>
      </w:pPr>
      <w:r>
        <w:t xml:space="preserve">8. Deliverables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3700"/>
      </w:tblGrid>
      <w:tr>
        <w:trPr>
          <w:tblHeader/>
        </w:trPr>
        <w:tc>
          <w:tcPr>
            <w:tcW w:type="dxa" w:w="800"/>
            <w:shd w:fill="D9E2F3" w:val="clear"/>
            <w:tcMar>
              <w:top w:type="dxa" w:w="60"/>
              <w:left w:type="dxa" w:w="100"/>
              <w:bottom w:type="dxa" w:w="60"/>
              <w:right w:type="dxa" w:w="100"/>
            </w:tcMar>
          </w:tcPr>
          <w:p>
            <w:r>
              <w:rPr>
                <w:b/>
                <w:bCs/>
              </w:rPr>
              <w:t xml:space="preserve">No.</w:t>
            </w:r>
          </w:p>
        </w:tc>
        <w:tc>
          <w:tcPr>
            <w:tcW w:type="dxa" w:w="3200"/>
            <w:shd w:fill="D9E2F3" w:val="clear"/>
            <w:tcMar>
              <w:top w:type="dxa" w:w="60"/>
              <w:left w:type="dxa" w:w="100"/>
              <w:bottom w:type="dxa" w:w="60"/>
              <w:right w:type="dxa" w:w="100"/>
            </w:tcMar>
          </w:tcPr>
          <w:p>
            <w:r>
              <w:rPr>
                <w:b/>
                <w:bCs/>
              </w:rPr>
              <w:t xml:space="preserve">Document</w:t>
            </w:r>
          </w:p>
        </w:tc>
        <w:tc>
          <w:tcPr>
            <w:tcW w:type="dxa" w:w="1600"/>
            <w:shd w:fill="D9E2F3" w:val="clear"/>
            <w:tcMar>
              <w:top w:type="dxa" w:w="60"/>
              <w:left w:type="dxa" w:w="100"/>
              <w:bottom w:type="dxa" w:w="60"/>
              <w:right w:type="dxa" w:w="100"/>
            </w:tcMar>
          </w:tcPr>
          <w:p>
            <w:r>
              <w:rPr>
                <w:b/>
                <w:bCs/>
              </w:rPr>
              <w:t xml:space="preserve">Language</w:t>
            </w:r>
          </w:p>
        </w:tc>
        <w:tc>
          <w:tcPr>
            <w:tcW w:type="dxa" w:w="3700"/>
            <w:shd w:fill="D9E2F3" w:val="clear"/>
            <w:tcMar>
              <w:top w:type="dxa" w:w="60"/>
              <w:left w:type="dxa" w:w="100"/>
              <w:bottom w:type="dxa" w:w="60"/>
              <w:right w:type="dxa" w:w="100"/>
            </w:tcMar>
          </w:tcPr>
          <w:p>
            <w:r>
              <w:rPr>
                <w:b/>
                <w:bCs/>
              </w:rPr>
              <w:t xml:space="preserve">Principal Content</w:t>
            </w:r>
          </w:p>
        </w:tc>
      </w:tr>
      <w:tr>
        <w:tc>
          <w:tcPr>
            <w:tcW w:type="dxa" w:w="800"/>
            <w:tcMar>
              <w:top w:type="dxa" w:w="60"/>
              <w:left w:type="dxa" w:w="100"/>
              <w:bottom w:type="dxa" w:w="60"/>
              <w:right w:type="dxa" w:w="100"/>
            </w:tcMar>
          </w:tcPr>
          <w:p>
            <w:r>
              <w:rPr>
                <w:b w:val="false"/>
                <w:bCs w:val="false"/>
              </w:rPr>
              <w:t xml:space="preserve">1</w:t>
            </w:r>
          </w:p>
        </w:tc>
        <w:tc>
          <w:tcPr>
            <w:tcW w:type="dxa" w:w="3200"/>
            <w:tcMar>
              <w:top w:type="dxa" w:w="60"/>
              <w:left w:type="dxa" w:w="100"/>
              <w:bottom w:type="dxa" w:w="60"/>
              <w:right w:type="dxa" w:w="100"/>
            </w:tcMar>
          </w:tcPr>
          <w:p>
            <w:r>
              <w:rPr>
                <w:b w:val="false"/>
                <w:bCs w:val="false"/>
              </w:rPr>
              <w:t xml:space="preserve">Scope of Study (Inception / TOR Report)</w:t>
            </w:r>
          </w:p>
        </w:tc>
        <w:tc>
          <w:tcPr>
            <w:tcW w:type="dxa" w:w="1600"/>
            <w:tcMar>
              <w:top w:type="dxa" w:w="60"/>
              <w:left w:type="dxa" w:w="100"/>
              <w:bottom w:type="dxa" w:w="60"/>
              <w:right w:type="dxa" w:w="100"/>
            </w:tcMar>
          </w:tcPr>
          <w:p>
            <w:r>
              <w:rPr>
                <w:b w:val="false"/>
                <w:bCs w:val="false"/>
              </w:rPr>
              <w:t xml:space="preserve">Thai and English</w:t>
            </w:r>
          </w:p>
        </w:tc>
        <w:tc>
          <w:tcPr>
            <w:tcW w:type="dxa" w:w="3700"/>
            <w:tcMar>
              <w:top w:type="dxa" w:w="60"/>
              <w:left w:type="dxa" w:w="100"/>
              <w:bottom w:type="dxa" w:w="60"/>
              <w:right w:type="dxa" w:w="100"/>
            </w:tcMar>
          </w:tcPr>
          <w:p>
            <w:r>
              <w:rPr>
                <w:b w:val="false"/>
                <w:bCs w:val="false"/>
              </w:rPr>
              <w:t xml:space="preserve">Rationale, objectives, scope of study, methodology, evaluation criteria, work programme and timeline.</w:t>
            </w:r>
          </w:p>
        </w:tc>
      </w:tr>
      <w:tr>
        <w:tc>
          <w:tcPr>
            <w:tcW w:type="dxa" w:w="800"/>
            <w:tcMar>
              <w:top w:type="dxa" w:w="60"/>
              <w:left w:type="dxa" w:w="100"/>
              <w:bottom w:type="dxa" w:w="60"/>
              <w:right w:type="dxa" w:w="100"/>
            </w:tcMar>
          </w:tcPr>
          <w:p>
            <w:r>
              <w:rPr>
                <w:b w:val="false"/>
                <w:bCs w:val="false"/>
              </w:rPr>
              <w:t xml:space="preserve">2</w:t>
            </w:r>
          </w:p>
        </w:tc>
        <w:tc>
          <w:tcPr>
            <w:tcW w:type="dxa" w:w="3200"/>
            <w:tcMar>
              <w:top w:type="dxa" w:w="60"/>
              <w:left w:type="dxa" w:w="100"/>
              <w:bottom w:type="dxa" w:w="60"/>
              <w:right w:type="dxa" w:w="100"/>
            </w:tcMar>
          </w:tcPr>
          <w:p>
            <w:r>
              <w:rPr>
                <w:b w:val="false"/>
                <w:bCs w:val="false"/>
              </w:rPr>
              <w:t xml:space="preserve">Final Feasibility Study Report</w:t>
            </w:r>
          </w:p>
        </w:tc>
        <w:tc>
          <w:tcPr>
            <w:tcW w:type="dxa" w:w="1600"/>
            <w:tcMar>
              <w:top w:type="dxa" w:w="60"/>
              <w:left w:type="dxa" w:w="100"/>
              <w:bottom w:type="dxa" w:w="60"/>
              <w:right w:type="dxa" w:w="100"/>
            </w:tcMar>
          </w:tcPr>
          <w:p>
            <w:r>
              <w:rPr>
                <w:b w:val="false"/>
                <w:bCs w:val="false"/>
              </w:rPr>
              <w:t xml:space="preserve">Thai and English</w:t>
            </w:r>
          </w:p>
        </w:tc>
        <w:tc>
          <w:tcPr>
            <w:tcW w:type="dxa" w:w="3700"/>
            <w:tcMar>
              <w:top w:type="dxa" w:w="60"/>
              <w:left w:type="dxa" w:w="100"/>
              <w:bottom w:type="dxa" w:w="60"/>
              <w:right w:type="dxa" w:w="100"/>
            </w:tcMar>
          </w:tcPr>
          <w:p>
            <w:r>
              <w:rPr>
                <w:b w:val="false"/>
                <w:bCs w:val="false"/>
              </w:rPr>
              <w:t xml:space="preserve">Complete findings across all seven dimensions for all four ventures; comparative assessment and prioritization; strategic recommendations and implementation roadmap; executive summary.</w:t>
            </w:r>
          </w:p>
        </w:tc>
      </w:tr>
    </w:tbl>
    <w:p>
      <w:pPr>
        <w:jc w:val="thaiDistribute"/>
      </w:pPr>
      <w:r>
        <w:t xml:space="preserve"/>
      </w:r>
    </w:p>
    <w:p>
      <w:pPr>
        <w:jc w:val="thaiDistribute"/>
      </w:pPr>
      <w:r>
        <w:t xml:space="preserve">All documents shall employ precise academic terminology with terminological consistency across both language editions; the English edition shall constitute an academic rendering rather than a literal translation.</w:t>
      </w:r>
    </w:p>
    <w:p>
      <w:pPr>
        <w:pStyle w:val="Heading1"/>
      </w:pPr>
      <w:r>
        <w:t xml:space="preserve">9. Indicative Timeline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300"/>
      </w:tblGrid>
      <w:tr>
        <w:trPr>
          <w:tblHeader/>
        </w:trPr>
        <w:tc>
          <w:tcPr>
            <w:tcW w:type="dxa" w:w="2300"/>
            <w:shd w:fill="D9E2F3" w:val="clear"/>
            <w:tcMar>
              <w:top w:type="dxa" w:w="60"/>
              <w:left w:type="dxa" w:w="100"/>
              <w:bottom w:type="dxa" w:w="60"/>
              <w:right w:type="dxa" w:w="100"/>
            </w:tcMar>
          </w:tcPr>
          <w:p>
            <w:r>
              <w:rPr>
                <w:b/>
                <w:bCs/>
              </w:rPr>
              <w:t xml:space="preserve">Phase</w:t>
            </w:r>
          </w:p>
        </w:tc>
        <w:tc>
          <w:tcPr>
            <w:tcW w:type="dxa" w:w="4700"/>
            <w:shd w:fill="D9E2F3" w:val="clear"/>
            <w:tcMar>
              <w:top w:type="dxa" w:w="60"/>
              <w:left w:type="dxa" w:w="100"/>
              <w:bottom w:type="dxa" w:w="60"/>
              <w:right w:type="dxa" w:w="100"/>
            </w:tcMar>
          </w:tcPr>
          <w:p>
            <w:r>
              <w:rPr>
                <w:b/>
                <w:bCs/>
              </w:rPr>
              <w:t xml:space="preserve">Principal Activities</w:t>
            </w:r>
          </w:p>
        </w:tc>
        <w:tc>
          <w:tcPr>
            <w:tcW w:type="dxa" w:w="2300"/>
            <w:shd w:fill="D9E2F3" w:val="clear"/>
            <w:tcMar>
              <w:top w:type="dxa" w:w="60"/>
              <w:left w:type="dxa" w:w="100"/>
              <w:bottom w:type="dxa" w:w="60"/>
              <w:right w:type="dxa" w:w="100"/>
            </w:tcMar>
          </w:tcPr>
          <w:p>
            <w:r>
              <w:rPr>
                <w:b/>
                <w:bCs/>
              </w:rPr>
              <w:t xml:space="preserve">Indicative Duration</w:t>
            </w:r>
          </w:p>
        </w:tc>
      </w:tr>
      <w:tr>
        <w:tc>
          <w:tcPr>
            <w:tcW w:type="dxa" w:w="2300"/>
            <w:tcMar>
              <w:top w:type="dxa" w:w="60"/>
              <w:left w:type="dxa" w:w="100"/>
              <w:bottom w:type="dxa" w:w="60"/>
              <w:right w:type="dxa" w:w="100"/>
            </w:tcMar>
          </w:tcPr>
          <w:p>
            <w:r>
              <w:rPr>
                <w:b w:val="false"/>
                <w:bCs w:val="false"/>
              </w:rPr>
              <w:t xml:space="preserve">Phase 1: Inception</w:t>
            </w:r>
          </w:p>
        </w:tc>
        <w:tc>
          <w:tcPr>
            <w:tcW w:type="dxa" w:w="4700"/>
            <w:tcMar>
              <w:top w:type="dxa" w:w="60"/>
              <w:left w:type="dxa" w:w="100"/>
              <w:bottom w:type="dxa" w:w="60"/>
              <w:right w:type="dxa" w:w="100"/>
            </w:tcMar>
          </w:tcPr>
          <w:p>
            <w:r>
              <w:rPr>
                <w:b w:val="false"/>
                <w:bCs w:val="false"/>
              </w:rPr>
              <w:t xml:space="preserve">Kick-off meeting; confirmation of scope and evaluation criteria; submission of Report No. 1.</w:t>
            </w:r>
          </w:p>
        </w:tc>
        <w:tc>
          <w:tcPr>
            <w:tcW w:type="dxa" w:w="2300"/>
            <w:tcMar>
              <w:top w:type="dxa" w:w="60"/>
              <w:left w:type="dxa" w:w="100"/>
              <w:bottom w:type="dxa" w:w="60"/>
              <w:right w:type="dxa" w:w="100"/>
            </w:tcMar>
          </w:tcPr>
          <w:p>
            <w:r>
              <w:rPr>
                <w:b w:val="false"/>
                <w:bCs w:val="false"/>
              </w:rPr>
              <w:t xml:space="preserve">Weeks 1–2</w:t>
            </w:r>
          </w:p>
        </w:tc>
      </w:tr>
      <w:tr>
        <w:tc>
          <w:tcPr>
            <w:tcW w:type="dxa" w:w="2300"/>
            <w:tcMar>
              <w:top w:type="dxa" w:w="60"/>
              <w:left w:type="dxa" w:w="100"/>
              <w:bottom w:type="dxa" w:w="60"/>
              <w:right w:type="dxa" w:w="100"/>
            </w:tcMar>
          </w:tcPr>
          <w:p>
            <w:r>
              <w:rPr>
                <w:b w:val="false"/>
                <w:bCs w:val="false"/>
              </w:rPr>
              <w:t xml:space="preserve">Phase 2: Data collection</w:t>
            </w:r>
          </w:p>
        </w:tc>
        <w:tc>
          <w:tcPr>
            <w:tcW w:type="dxa" w:w="4700"/>
            <w:tcMar>
              <w:top w:type="dxa" w:w="60"/>
              <w:left w:type="dxa" w:w="100"/>
              <w:bottom w:type="dxa" w:w="60"/>
              <w:right w:type="dxa" w:w="100"/>
            </w:tcMar>
          </w:tcPr>
          <w:p>
            <w:r>
              <w:rPr>
                <w:b w:val="false"/>
                <w:bCs w:val="false"/>
              </w:rPr>
              <w:t xml:space="preserve">Secondary data review; expert interviews; field surveys.</w:t>
            </w:r>
          </w:p>
        </w:tc>
        <w:tc>
          <w:tcPr>
            <w:tcW w:type="dxa" w:w="2300"/>
            <w:tcMar>
              <w:top w:type="dxa" w:w="60"/>
              <w:left w:type="dxa" w:w="100"/>
              <w:bottom w:type="dxa" w:w="60"/>
              <w:right w:type="dxa" w:w="100"/>
            </w:tcMar>
          </w:tcPr>
          <w:p>
            <w:r>
              <w:rPr>
                <w:b w:val="false"/>
                <w:bCs w:val="false"/>
              </w:rPr>
              <w:t xml:space="preserve">Weeks 3–8</w:t>
            </w:r>
          </w:p>
        </w:tc>
      </w:tr>
      <w:tr>
        <w:tc>
          <w:tcPr>
            <w:tcW w:type="dxa" w:w="2300"/>
            <w:tcMar>
              <w:top w:type="dxa" w:w="60"/>
              <w:left w:type="dxa" w:w="100"/>
              <w:bottom w:type="dxa" w:w="60"/>
              <w:right w:type="dxa" w:w="100"/>
            </w:tcMar>
          </w:tcPr>
          <w:p>
            <w:r>
              <w:rPr>
                <w:b w:val="false"/>
                <w:bCs w:val="false"/>
              </w:rPr>
              <w:t xml:space="preserve">Phase 3: Dimensional analysis</w:t>
            </w:r>
          </w:p>
        </w:tc>
        <w:tc>
          <w:tcPr>
            <w:tcW w:type="dxa" w:w="4700"/>
            <w:tcMar>
              <w:top w:type="dxa" w:w="60"/>
              <w:left w:type="dxa" w:w="100"/>
              <w:bottom w:type="dxa" w:w="60"/>
              <w:right w:type="dxa" w:w="100"/>
            </w:tcMar>
          </w:tcPr>
          <w:p>
            <w:r>
              <w:rPr>
                <w:b w:val="false"/>
                <w:bCs w:val="false"/>
              </w:rPr>
              <w:t xml:space="preserve">Market, technical, legal, and environmental-social analyses; financial modelling.</w:t>
            </w:r>
          </w:p>
        </w:tc>
        <w:tc>
          <w:tcPr>
            <w:tcW w:type="dxa" w:w="2300"/>
            <w:tcMar>
              <w:top w:type="dxa" w:w="60"/>
              <w:left w:type="dxa" w:w="100"/>
              <w:bottom w:type="dxa" w:w="60"/>
              <w:right w:type="dxa" w:w="100"/>
            </w:tcMar>
          </w:tcPr>
          <w:p>
            <w:r>
              <w:rPr>
                <w:b w:val="false"/>
                <w:bCs w:val="false"/>
              </w:rPr>
              <w:t xml:space="preserve">Weeks 6–14</w:t>
            </w:r>
          </w:p>
        </w:tc>
      </w:tr>
      <w:tr>
        <w:tc>
          <w:tcPr>
            <w:tcW w:type="dxa" w:w="2300"/>
            <w:tcMar>
              <w:top w:type="dxa" w:w="60"/>
              <w:left w:type="dxa" w:w="100"/>
              <w:bottom w:type="dxa" w:w="60"/>
              <w:right w:type="dxa" w:w="100"/>
            </w:tcMar>
          </w:tcPr>
          <w:p>
            <w:r>
              <w:rPr>
                <w:b w:val="false"/>
                <w:bCs w:val="false"/>
              </w:rPr>
              <w:t xml:space="preserve">Phase 4: Synthesis</w:t>
            </w:r>
          </w:p>
        </w:tc>
        <w:tc>
          <w:tcPr>
            <w:tcW w:type="dxa" w:w="4700"/>
            <w:tcMar>
              <w:top w:type="dxa" w:w="60"/>
              <w:left w:type="dxa" w:w="100"/>
              <w:bottom w:type="dxa" w:w="60"/>
              <w:right w:type="dxa" w:w="100"/>
            </w:tcMar>
          </w:tcPr>
          <w:p>
            <w:r>
              <w:rPr>
                <w:b w:val="false"/>
                <w:bCs w:val="false"/>
              </w:rPr>
              <w:t xml:space="preserve">Risk assessment; venture prioritization; recommendations; drafting of the final report.</w:t>
            </w:r>
          </w:p>
        </w:tc>
        <w:tc>
          <w:tcPr>
            <w:tcW w:type="dxa" w:w="2300"/>
            <w:tcMar>
              <w:top w:type="dxa" w:w="60"/>
              <w:left w:type="dxa" w:w="100"/>
              <w:bottom w:type="dxa" w:w="60"/>
              <w:right w:type="dxa" w:w="100"/>
            </w:tcMar>
          </w:tcPr>
          <w:p>
            <w:r>
              <w:rPr>
                <w:b w:val="false"/>
                <w:bCs w:val="false"/>
              </w:rPr>
              <w:t xml:space="preserve">Weeks 14–18</w:t>
            </w:r>
          </w:p>
        </w:tc>
      </w:tr>
      <w:tr>
        <w:tc>
          <w:tcPr>
            <w:tcW w:type="dxa" w:w="2300"/>
            <w:tcMar>
              <w:top w:type="dxa" w:w="60"/>
              <w:left w:type="dxa" w:w="100"/>
              <w:bottom w:type="dxa" w:w="60"/>
              <w:right w:type="dxa" w:w="100"/>
            </w:tcMar>
          </w:tcPr>
          <w:p>
            <w:r>
              <w:rPr>
                <w:b w:val="false"/>
                <w:bCs w:val="false"/>
              </w:rPr>
              <w:t xml:space="preserve">Phase 5: Delivery</w:t>
            </w:r>
          </w:p>
        </w:tc>
        <w:tc>
          <w:tcPr>
            <w:tcW w:type="dxa" w:w="4700"/>
            <w:tcMar>
              <w:top w:type="dxa" w:w="60"/>
              <w:left w:type="dxa" w:w="100"/>
              <w:bottom w:type="dxa" w:w="60"/>
              <w:right w:type="dxa" w:w="100"/>
            </w:tcMar>
          </w:tcPr>
          <w:p>
            <w:r>
              <w:rPr>
                <w:b w:val="false"/>
                <w:bCs w:val="false"/>
              </w:rPr>
              <w:t xml:space="preserve">Presentation of findings; incorporation of comments; submission of Report No. 2 in both languages.</w:t>
            </w:r>
          </w:p>
        </w:tc>
        <w:tc>
          <w:tcPr>
            <w:tcW w:type="dxa" w:w="2300"/>
            <w:tcMar>
              <w:top w:type="dxa" w:w="60"/>
              <w:left w:type="dxa" w:w="100"/>
              <w:bottom w:type="dxa" w:w="60"/>
              <w:right w:type="dxa" w:w="100"/>
            </w:tcMar>
          </w:tcPr>
          <w:p>
            <w:r>
              <w:rPr>
                <w:b w:val="false"/>
                <w:bCs w:val="false"/>
              </w:rPr>
              <w:t xml:space="preserve">Weeks 18–20</w:t>
            </w:r>
          </w:p>
        </w:tc>
      </w:tr>
    </w:tbl>
    <w:p>
      <w:pPr>
        <w:jc w:val="thaiDistribute"/>
      </w:pPr>
      <w:r>
        <w:t xml:space="preserve"/>
      </w:r>
    </w:p>
    <w:p>
      <w:r>
        <w:br w:type="page"/>
      </w:r>
    </w:p>
    <w:p>
      <w:pPr>
        <w:pStyle w:val="Heading1"/>
      </w:pPr>
      <w:r>
        <w:t>References</w:t>
      </w:r>
    </w:p>
    <w:p>
      <w:pPr>
        <w:jc w:val="thaiDistribute"/>
      </w:pPr>
      <w:r>
        <w:t xml:space="preserve">The following documents and sources constitute the principal references consulted in preparing this Terms of Reference. Point-specific citations are provided in footnotes on the relevant pages.</w:t>
      </w:r>
    </w:p>
    <w:p>
      <w:pPr>
        <w:ind w:left="567" w:hanging="567"/>
        <w:jc w:val="thaiDistribute"/>
      </w:pPr>
      <w:r>
        <w:t xml:space="preserve">[1] Energy Policy and Planning Office (EPPO), Ministry of Energy. Power Development Plan (PDP) and Alternative Energy Development Plan (AEDP). Available at https://www.eppo.go.th (accessed 18 August 2026).</w:t>
      </w:r>
    </w:p>
    <w:p>
      <w:pPr>
        <w:ind w:left="567" w:hanging="567"/>
        <w:jc w:val="thaiDistribute"/>
      </w:pPr>
      <w:r>
        <w:t xml:space="preserve">[2] Office of Natural Resources and Environmental Policy and Planning (ONEP). Thailand's Long-Term Low Greenhouse Gas Emission Development Strategy (Revised Version). Submitted to the United Nations Framework Convention on Climate Change (UNFCCC), November 2022. Available at https://unfccc.int/process-and-meetings/the-paris-agreement/long-term-strategies (accessed 18 August 2026).</w:t>
      </w:r>
    </w:p>
    <w:p>
      <w:pPr>
        <w:ind w:left="567" w:hanging="567"/>
        <w:jc w:val="thaiDistribute"/>
      </w:pPr>
      <w:r>
        <w:t xml:space="preserve">[3] National Electric Vehicle Policy Committee. The 30@30 Policy and the Second-Phase EV Adoption Support Measures (EV3.5), 2024–2027 (Cabinet resolution of 19 December 2023).</w:t>
      </w:r>
    </w:p>
    <w:p>
      <w:pPr>
        <w:ind w:left="567" w:hanging="567"/>
        <w:jc w:val="thaiDistribute"/>
      </w:pPr>
      <w:r>
        <w:t xml:space="preserve">[4] Energy Regulatory Commission (ERC). Regulations and Notifications on the Procurement of Electricity from Renewable Energy under the Feed-in Tariff (FiT) Scheme, 2022–2030. Available at https://www.erc.or.th (accessed 18 August 2026).</w:t>
      </w:r>
    </w:p>
    <w:p>
      <w:pPr>
        <w:ind w:left="567" w:hanging="567"/>
        <w:jc w:val="thaiDistribute"/>
      </w:pPr>
      <w:r>
        <w:t xml:space="preserve">[5] Energy Industry Act B.E. 2550 (2007). Royal Thai Government Gazette, Vol. 124, Part 89 Kor, 10 December 2007.</w:t>
      </w:r>
    </w:p>
    <w:p>
      <w:pPr>
        <w:ind w:left="567" w:hanging="567"/>
        <w:jc w:val="thaiDistribute"/>
      </w:pPr>
      <w:r>
        <w:t xml:space="preserve">[6] Thailand Board of Investment (BOI). Eligible Activities for Investment Promotion: Electricity Generation from Renewable Energy and Electric Vehicle Charging Station Businesses. Available at https://www.boi.go.th (accessed 18 August 2026).</w:t>
      </w:r>
    </w:p>
    <w:p>
      <w:pPr>
        <w:ind w:left="567" w:hanging="567"/>
        <w:jc w:val="thaiDistribute"/>
      </w:pPr>
      <w:r>
        <w:t xml:space="preserve">[7] Ministry of Natural Resources and Environment. Notification Prescribing Projects, Businesses, or Operations Required to Prepare an Environmental Impact Assessment Report, issued under the Enhancement and Conservation of National Environmental Quality Act (No. 2) B.E. 2561 (2018).</w:t>
      </w:r>
    </w:p>
    <w:p>
      <w:pPr>
        <w:ind w:left="567" w:hanging="567"/>
        <w:jc w:val="thaiDistribute"/>
      </w:pPr>
      <w:r>
        <w:t xml:space="preserve">[8] Energy Regulatory Commission (ERC). NEPC Resolutions and ERC Regulations and Notifications on the Procurement of Electricity from Municipal Solid Waste and Industrial Waste under the FiT Scheme. Available at https://www.erc.or.th (accessed 18 August 2026).</w:t>
      </w:r>
    </w:p>
    <w:p>
      <w:pPr>
        <w:ind w:left="567" w:hanging="567"/>
        <w:jc w:val="thaiDistribute"/>
      </w:pPr>
      <w:r>
        <w:t xml:space="preserve">[9] Energy Policy and Planning Office (EPPO). Resolution of the National Energy Policy Council (NEPC), 167th Meeting, 25 June 2024: Direct PPA Pilot Scheme via Third Party Access (TPA), Capped at 2,000 MW. Available at https://www.eppo.go.th (accessed 18 August 2026).</w:t>
      </w:r>
    </w:p>
    <w:p>
      <w:pPr>
        <w:ind w:left="567" w:hanging="567"/>
        <w:jc w:val="thaiDistribute"/>
      </w:pPr>
      <w:r>
        <w:t xml:space="preserve">[10] Metropolitan Electricity Authority (MEA) and Provincial Electricity Authority (PEA). Notifications on the Low Priority Electricity Tariff for EV Charging Stations, pursuant to NEPC and ERC Resolutions. Available at https://www.mea.or.th and https://www.pea.co.th (accessed 18 August 2026).</w:t>
      </w:r>
    </w:p>
    <w:p>
      <w:pPr>
        <w:ind w:left="567" w:hanging="567"/>
        <w:jc w:val="thaiDistribute"/>
      </w:pPr>
      <w:r>
        <w:t xml:space="preserve">[11] Department of Industrial Works. Factory Database (factory register and Ror.Ngor.4 licences). Available at https://www.diw.go.th (accessed 18 August 2026).</w:t>
      </w:r>
    </w:p>
    <w:p>
      <w:pPr>
        <w:ind w:left="567" w:hanging="567"/>
        <w:jc w:val="thaiDistribute"/>
      </w:pPr>
      <w:r>
        <w:t xml:space="preserve">[12] Electricity Generating Authority of Thailand, Provincial Electricity Authority, and Metropolitan Electricity Authority. Registers of Small Power Producers (SPP) and Very Small Power Producers (VSPP). Available at https://www.egat.co.th, https://www.pea.co.th, and https://www.mea.or.th (accessed 18 August 2026).</w:t>
      </w:r>
    </w:p>
    <w:p>
      <w:r>
        <w:br w:type="page"/>
      </w:r>
    </w:p>
    <w:p>
      <w:pPr>
        <w:pStyle w:val="Heading1"/>
      </w:pPr>
      <w:r>
        <w:t xml:space="preserve">Annex A: Structure of the Final Feasibility Study Report (Proposed Table of Contents)</w:t>
      </w:r>
    </w:p>
    <w:p>
      <w:pPr>
        <w:jc w:val="thaiDistribute"/>
      </w:pPr>
      <w:r>
        <w:t xml:space="preserve">The Final Feasibility Study Report (Report No. 2) shall be organized as follows, in both the Thai and English editions:</w:t>
      </w:r>
    </w:p>
    <w:p>
      <w:pPr>
        <w:pStyle w:val="Heading3"/>
      </w:pPr>
      <w:r>
        <w:t xml:space="preserve">Part I: Introduction</w:t>
      </w:r>
    </w:p>
    <w:p>
      <w:pPr>
        <w:pStyle w:val="ListParagraph"/>
        <w:numPr>
          <w:ilvl w:val="0"/>
          <w:numId w:val="2"/>
        </w:numPr>
      </w:pPr>
      <w:r>
        <w:t xml:space="preserve">Executive Summary</w:t>
      </w:r>
    </w:p>
    <w:p>
      <w:pPr>
        <w:pStyle w:val="ListParagraph"/>
        <w:numPr>
          <w:ilvl w:val="0"/>
          <w:numId w:val="2"/>
        </w:numPr>
      </w:pPr>
      <w:r>
        <w:t xml:space="preserve">Chapter 1 – Introduction: background, objectives, scope, and methodology.</w:t>
      </w:r>
    </w:p>
    <w:p>
      <w:pPr>
        <w:pStyle w:val="Heading3"/>
      </w:pPr>
      <w:r>
        <w:t xml:space="preserve">Part II: Contextual Analysis</w:t>
      </w:r>
    </w:p>
    <w:p>
      <w:pPr>
        <w:pStyle w:val="ListParagraph"/>
        <w:numPr>
          <w:ilvl w:val="0"/>
          <w:numId w:val="2"/>
        </w:numPr>
      </w:pPr>
      <w:r>
        <w:t xml:space="preserve">Chapter 2 – Thailand’s energy policy context and regulatory framework.</w:t>
      </w:r>
    </w:p>
    <w:p>
      <w:pPr>
        <w:pStyle w:val="ListParagraph"/>
        <w:numPr>
          <w:ilvl w:val="0"/>
          <w:numId w:val="2"/>
        </w:numPr>
      </w:pPr>
      <w:r>
        <w:t xml:space="preserve">Chapter 3 – Renewable energy market and EV ecosystem analysis.</w:t>
      </w:r>
    </w:p>
    <w:p>
      <w:pPr>
        <w:pStyle w:val="Heading3"/>
      </w:pPr>
      <w:r>
        <w:t xml:space="preserve">Part III: Venture-Level Feasibility Studies (Chapters 4–7)</w:t>
      </w:r>
    </w:p>
    <w:p>
      <w:pPr>
        <w:pStyle w:val="ListParagraph"/>
        <w:numPr>
          <w:ilvl w:val="0"/>
          <w:numId w:val="2"/>
        </w:numPr>
      </w:pPr>
      <w:r>
        <w:t xml:space="preserve">Chapter 4 – Biomass Power Plant; Chapter 5 – Waste-to-Energy Power Plant; Chapter 6 – Private PPA Solar Investorship; Chapter 7 – EV Charging Station Business.</w:t>
      </w:r>
    </w:p>
    <w:p>
      <w:pPr>
        <w:pStyle w:val="ListParagraph"/>
        <w:numPr>
          <w:ilvl w:val="0"/>
          <w:numId w:val="2"/>
        </w:numPr>
      </w:pPr>
      <w:r>
        <w:t xml:space="preserve">Each chapter follows a standard architecture: market analysis; technical feasibility; legal and permitting; environmental and social considerations; financial analysis (CAPEX, OPEX, NPV, IRR, DSCR, Payback, Sensitivity); risk assessment; and feasibility conclusion.</w:t>
      </w:r>
    </w:p>
    <w:p>
      <w:pPr>
        <w:pStyle w:val="Heading3"/>
      </w:pPr>
      <w:r>
        <w:t xml:space="preserve">Part IV: Synthesis and Recommendations</w:t>
      </w:r>
    </w:p>
    <w:p>
      <w:pPr>
        <w:pStyle w:val="ListParagraph"/>
        <w:numPr>
          <w:ilvl w:val="0"/>
          <w:numId w:val="2"/>
        </w:numPr>
      </w:pPr>
      <w:r>
        <w:t xml:space="preserve">Chapter 8 – Comparative analysis and venture prioritization via MCDA.</w:t>
      </w:r>
    </w:p>
    <w:p>
      <w:pPr>
        <w:pStyle w:val="ListParagraph"/>
        <w:numPr>
          <w:ilvl w:val="0"/>
          <w:numId w:val="2"/>
        </w:numPr>
      </w:pPr>
      <w:r>
        <w:t xml:space="preserve">Chapter 9 – Investment strategy, capital structure, and implementation roadmap.</w:t>
      </w:r>
    </w:p>
    <w:p>
      <w:pPr>
        <w:pStyle w:val="ListParagraph"/>
        <w:numPr>
          <w:ilvl w:val="0"/>
          <w:numId w:val="2"/>
        </w:numPr>
      </w:pPr>
      <w:r>
        <w:t xml:space="preserve">Chapter 10 – Conclusions and recommendations.</w:t>
      </w:r>
    </w:p>
    <w:p>
      <w:pPr>
        <w:pStyle w:val="Heading3"/>
      </w:pPr>
      <w:r>
        <w:t xml:space="preserve">Part V: Annexes</w:t>
      </w:r>
    </w:p>
    <w:p>
      <w:pPr>
        <w:pStyle w:val="ListParagraph"/>
        <w:numPr>
          <w:ilvl w:val="0"/>
          <w:numId w:val="2"/>
        </w:numPr>
      </w:pPr>
      <w:r>
        <w:t xml:space="preserve">Detailed financial model assumptions; risk register; permitting roadmap; references; and a Thai–English glossary of technical terms.</w:t>
      </w:r>
    </w:p>
    <w:p>
      <w:r>
        <w:br w:type="page"/>
      </w:r>
    </w:p>
    <w:p>
      <w:pPr>
        <w:pStyle w:val="Heading1"/>
      </w:pPr>
      <w:r>
        <w:t>Annex B: Structure of the Government-Registered Project Database</w:t>
      </w:r>
    </w:p>
    <w:p>
      <w:pPr>
        <w:jc w:val="thaiDistribute"/>
      </w:pPr>
      <w:r>
        <w:t xml:space="preserve">The project-level database prescribed in this annex constitutes a key input to the project-specific feasibility studies. It supports market and competitor analysis, site selection, benchmarking of costs and tariffs, and assessment of the spatial density of existing projects. The full database shall be maintained electronically (per the tabular template accompanying this study), with only summary analytical tables presented in the report body.</w:t>
      </w:r>
    </w:p>
    <w:p>
      <w:pPr>
        <w:pStyle w:val="Heading2"/>
      </w:pPr>
      <w:r>
        <w:t xml:space="preserve">B.0 Common Data Structure (all datasets)</w:t>
      </w:r>
    </w:p>
    <w:p>
      <w:pPr>
        <w:pStyle w:val="ListParagraph"/>
        <w:numPr>
          <w:ilvl w:val="0"/>
          <w:numId w:val="2"/>
        </w:numPr>
      </w:pPr>
      <w:r>
        <w:t xml:space="preserve">Project ID</w:t>
      </w:r>
    </w:p>
    <w:p>
      <w:pPr>
        <w:pStyle w:val="ListParagraph"/>
        <w:numPr>
          <w:ilvl w:val="0"/>
          <w:numId w:val="2"/>
        </w:numPr>
      </w:pPr>
      <w:r>
        <w:t xml:space="preserve">Project name</w:t>
      </w:r>
    </w:p>
    <w:p>
      <w:pPr>
        <w:pStyle w:val="ListParagraph"/>
        <w:numPr>
          <w:ilvl w:val="0"/>
          <w:numId w:val="2"/>
        </w:numPr>
      </w:pPr>
      <w:r>
        <w:t xml:space="preserve">Operator (legal entity)</w:t>
      </w:r>
    </w:p>
    <w:p>
      <w:pPr>
        <w:pStyle w:val="ListParagraph"/>
        <w:numPr>
          <w:ilvl w:val="0"/>
          <w:numId w:val="2"/>
        </w:numPr>
      </w:pPr>
      <w:r>
        <w:t xml:space="preserve">Company registration no.</w:t>
      </w:r>
    </w:p>
    <w:p>
      <w:pPr>
        <w:pStyle w:val="ListParagraph"/>
        <w:numPr>
          <w:ilvl w:val="0"/>
          <w:numId w:val="2"/>
        </w:numPr>
      </w:pPr>
      <w:r>
        <w:t xml:space="preserve">Location (sub-district / district / province)</w:t>
      </w:r>
    </w:p>
    <w:p>
      <w:pPr>
        <w:pStyle w:val="ListParagraph"/>
        <w:numPr>
          <w:ilvl w:val="0"/>
          <w:numId w:val="2"/>
        </w:numPr>
      </w:pPr>
      <w:r>
        <w:t xml:space="preserve">GPS coordinates (latitude, longitude)</w:t>
      </w:r>
    </w:p>
    <w:p>
      <w:pPr>
        <w:pStyle w:val="ListParagraph"/>
        <w:numPr>
          <w:ilvl w:val="0"/>
          <w:numId w:val="2"/>
        </w:numPr>
      </w:pPr>
      <w:r>
        <w:t xml:space="preserve">Project status (development / construction / COD / suspended)</w:t>
      </w:r>
    </w:p>
    <w:p>
      <w:pPr>
        <w:pStyle w:val="ListParagraph"/>
        <w:numPr>
          <w:ilvl w:val="0"/>
          <w:numId w:val="2"/>
        </w:numPr>
      </w:pPr>
      <w:r>
        <w:t xml:space="preserve">Registering agency and licence type</w:t>
      </w:r>
    </w:p>
    <w:p>
      <w:pPr>
        <w:pStyle w:val="ListParagraph"/>
        <w:numPr>
          <w:ilvl w:val="0"/>
          <w:numId w:val="2"/>
        </w:numPr>
      </w:pPr>
      <w:r>
        <w:t xml:space="preserve">Licence number</w:t>
      </w:r>
    </w:p>
    <w:p>
      <w:pPr>
        <w:pStyle w:val="ListParagraph"/>
        <w:numPr>
          <w:ilvl w:val="0"/>
          <w:numId w:val="2"/>
        </w:numPr>
      </w:pPr>
      <w:r>
        <w:t xml:space="preserve">Licence issue and expiry dates</w:t>
      </w:r>
    </w:p>
    <w:p>
      <w:pPr>
        <w:pStyle w:val="ListParagraph"/>
        <w:numPr>
          <w:ilvl w:val="0"/>
          <w:numId w:val="2"/>
        </w:numPr>
      </w:pPr>
      <w:r>
        <w:t xml:space="preserve">BOI incentives (if any)</w:t>
      </w:r>
    </w:p>
    <w:p>
      <w:pPr>
        <w:pStyle w:val="ListParagraph"/>
        <w:numPr>
          <w:ilvl w:val="0"/>
          <w:numId w:val="2"/>
        </w:numPr>
      </w:pPr>
      <w:r>
        <w:t xml:space="preserve">Data last updated</w:t>
      </w:r>
    </w:p>
    <w:p>
      <w:pPr>
        <w:pStyle w:val="ListParagraph"/>
        <w:numPr>
          <w:ilvl w:val="0"/>
          <w:numId w:val="2"/>
        </w:numPr>
      </w:pPr>
      <w:r>
        <w:t xml:space="preserve">Data source (URL / document)</w:t>
      </w:r>
    </w:p>
    <w:p>
      <w:pPr>
        <w:pStyle w:val="ListParagraph"/>
        <w:numPr>
          <w:ilvl w:val="0"/>
          <w:numId w:val="2"/>
        </w:numPr>
      </w:pPr>
      <w:r>
        <w:t xml:space="preserve">Remarks</w:t>
      </w:r>
    </w:p>
    <w:p>
      <w:pPr>
        <w:pStyle w:val="Heading2"/>
      </w:pPr>
      <w:r>
        <w:t xml:space="preserve">B.1 Biomass Power Plant Dataset</w:t>
      </w:r>
    </w:p>
    <w:p>
      <w:pPr>
        <w:pStyle w:val="ListParagraph"/>
        <w:numPr>
          <w:ilvl w:val="0"/>
          <w:numId w:val="2"/>
        </w:numPr>
      </w:pPr>
      <w:r>
        <w:t xml:space="preserve">Installed capacity (MW)</w:t>
      </w:r>
    </w:p>
    <w:p>
      <w:pPr>
        <w:pStyle w:val="ListParagraph"/>
        <w:numPr>
          <w:ilvl w:val="0"/>
          <w:numId w:val="2"/>
        </w:numPr>
      </w:pPr>
      <w:r>
        <w:t xml:space="preserve">Contracted capacity (MW)</w:t>
      </w:r>
    </w:p>
    <w:p>
      <w:pPr>
        <w:pStyle w:val="ListParagraph"/>
        <w:numPr>
          <w:ilvl w:val="0"/>
          <w:numId w:val="2"/>
        </w:numPr>
      </w:pPr>
      <w:r>
        <w:t xml:space="preserve">Technology (direct combustion / stoker / fluidized bed / gasification)</w:t>
      </w:r>
    </w:p>
    <w:p>
      <w:pPr>
        <w:pStyle w:val="ListParagraph"/>
        <w:numPr>
          <w:ilvl w:val="0"/>
          <w:numId w:val="2"/>
        </w:numPr>
      </w:pPr>
      <w:r>
        <w:t xml:space="preserve">Primary and secondary biomass fuel types</w:t>
      </w:r>
    </w:p>
    <w:p>
      <w:pPr>
        <w:pStyle w:val="ListParagraph"/>
        <w:numPr>
          <w:ilvl w:val="0"/>
          <w:numId w:val="2"/>
        </w:numPr>
      </w:pPr>
      <w:r>
        <w:t xml:space="preserve">Annual fuel consumption (tonnes)</w:t>
      </w:r>
    </w:p>
    <w:p>
      <w:pPr>
        <w:pStyle w:val="ListParagraph"/>
        <w:numPr>
          <w:ilvl w:val="0"/>
          <w:numId w:val="2"/>
        </w:numPr>
      </w:pPr>
      <w:r>
        <w:t xml:space="preserve">Average fuel heating value (MJ/kg)</w:t>
      </w:r>
    </w:p>
    <w:p>
      <w:pPr>
        <w:pStyle w:val="ListParagraph"/>
        <w:numPr>
          <w:ilvl w:val="0"/>
          <w:numId w:val="2"/>
        </w:numPr>
      </w:pPr>
      <w:r>
        <w:t xml:space="preserve">Offtake scheme (FiT / Adder / bilateral PPA)</w:t>
      </w:r>
    </w:p>
    <w:p>
      <w:pPr>
        <w:pStyle w:val="ListParagraph"/>
        <w:numPr>
          <w:ilvl w:val="0"/>
          <w:numId w:val="2"/>
        </w:numPr>
      </w:pPr>
      <w:r>
        <w:t xml:space="preserve">Purchase tariff (THB/kWh)</w:t>
      </w:r>
    </w:p>
    <w:p>
      <w:pPr>
        <w:pStyle w:val="ListParagraph"/>
        <w:numPr>
          <w:ilvl w:val="0"/>
          <w:numId w:val="2"/>
        </w:numPr>
      </w:pPr>
      <w:r>
        <w:t xml:space="preserve">Offtaker (EGAT / PEA / MEA / private)</w:t>
      </w:r>
    </w:p>
    <w:p>
      <w:pPr>
        <w:pStyle w:val="ListParagraph"/>
        <w:numPr>
          <w:ilvl w:val="0"/>
          <w:numId w:val="2"/>
        </w:numPr>
      </w:pPr>
      <w:r>
        <w:t xml:space="preserve">Commercial operation date (COD)</w:t>
      </w:r>
    </w:p>
    <w:p>
      <w:pPr>
        <w:pStyle w:val="Heading2"/>
      </w:pPr>
      <w:r>
        <w:t xml:space="preserve">B.2 Waste-to-Energy Power Plant Dataset</w:t>
      </w:r>
    </w:p>
    <w:p>
      <w:pPr>
        <w:pStyle w:val="ListParagraph"/>
        <w:numPr>
          <w:ilvl w:val="0"/>
          <w:numId w:val="2"/>
        </w:numPr>
      </w:pPr>
      <w:r>
        <w:t xml:space="preserve">Installed capacity (MW)</w:t>
      </w:r>
    </w:p>
    <w:p>
      <w:pPr>
        <w:pStyle w:val="ListParagraph"/>
        <w:numPr>
          <w:ilvl w:val="0"/>
          <w:numId w:val="2"/>
        </w:numPr>
      </w:pPr>
      <w:r>
        <w:t xml:space="preserve">Technology (moving grate / RDF / gasification / anaerobic digestion)</w:t>
      </w:r>
    </w:p>
    <w:p>
      <w:pPr>
        <w:pStyle w:val="ListParagraph"/>
        <w:numPr>
          <w:ilvl w:val="0"/>
          <w:numId w:val="2"/>
        </w:numPr>
      </w:pPr>
      <w:r>
        <w:t xml:space="preserve">Waste throughput (tonnes/day)</w:t>
      </w:r>
    </w:p>
    <w:p>
      <w:pPr>
        <w:pStyle w:val="ListParagraph"/>
        <w:numPr>
          <w:ilvl w:val="0"/>
          <w:numId w:val="2"/>
        </w:numPr>
      </w:pPr>
      <w:r>
        <w:t xml:space="preserve">Contracting local government organization</w:t>
      </w:r>
    </w:p>
    <w:p>
      <w:pPr>
        <w:pStyle w:val="ListParagraph"/>
        <w:numPr>
          <w:ilvl w:val="0"/>
          <w:numId w:val="2"/>
        </w:numPr>
      </w:pPr>
      <w:r>
        <w:t xml:space="preserve">Public-private partnership model</w:t>
      </w:r>
    </w:p>
    <w:p>
      <w:pPr>
        <w:pStyle w:val="ListParagraph"/>
        <w:numPr>
          <w:ilvl w:val="0"/>
          <w:numId w:val="2"/>
        </w:numPr>
      </w:pPr>
      <w:r>
        <w:t xml:space="preserve">Tipping fee (THB/tonne)</w:t>
      </w:r>
    </w:p>
    <w:p>
      <w:pPr>
        <w:pStyle w:val="ListParagraph"/>
        <w:numPr>
          <w:ilvl w:val="0"/>
          <w:numId w:val="2"/>
        </w:numPr>
      </w:pPr>
      <w:r>
        <w:t xml:space="preserve">FiT purchase tariff (THB/kWh)</w:t>
      </w:r>
    </w:p>
    <w:p>
      <w:pPr>
        <w:pStyle w:val="ListParagraph"/>
        <w:numPr>
          <w:ilvl w:val="0"/>
          <w:numId w:val="2"/>
        </w:numPr>
      </w:pPr>
      <w:r>
        <w:t xml:space="preserve">EIA / CoP status</w:t>
      </w:r>
    </w:p>
    <w:p>
      <w:pPr>
        <w:pStyle w:val="ListParagraph"/>
        <w:numPr>
          <w:ilvl w:val="0"/>
          <w:numId w:val="2"/>
        </w:numPr>
      </w:pPr>
      <w:r>
        <w:t xml:space="preserve">Commercial operation date (COD)</w:t>
      </w:r>
    </w:p>
    <w:p>
      <w:pPr>
        <w:pStyle w:val="Heading2"/>
      </w:pPr>
      <w:r>
        <w:t xml:space="preserve">B.3 Private PPA Solar Dataset</w:t>
      </w:r>
    </w:p>
    <w:p>
      <w:pPr>
        <w:pStyle w:val="ListParagraph"/>
        <w:numPr>
          <w:ilvl w:val="0"/>
          <w:numId w:val="2"/>
        </w:numPr>
      </w:pPr>
      <w:r>
        <w:t xml:space="preserve">Off-taker and business sector</w:t>
      </w:r>
    </w:p>
    <w:p>
      <w:pPr>
        <w:pStyle w:val="ListParagraph"/>
        <w:numPr>
          <w:ilvl w:val="0"/>
          <w:numId w:val="2"/>
        </w:numPr>
      </w:pPr>
      <w:r>
        <w:t xml:space="preserve">Installation type (rooftop / ground-mounted / floating)</w:t>
      </w:r>
    </w:p>
    <w:p>
      <w:pPr>
        <w:pStyle w:val="ListParagraph"/>
        <w:numPr>
          <w:ilvl w:val="0"/>
          <w:numId w:val="2"/>
        </w:numPr>
      </w:pPr>
      <w:r>
        <w:t xml:space="preserve">Installed capacity (kWp / MW)</w:t>
      </w:r>
    </w:p>
    <w:p>
      <w:pPr>
        <w:pStyle w:val="ListParagraph"/>
        <w:numPr>
          <w:ilvl w:val="0"/>
          <w:numId w:val="2"/>
        </w:numPr>
      </w:pPr>
      <w:r>
        <w:t xml:space="preserve">Contract model (Private PPA / leasing / EPC)</w:t>
      </w:r>
    </w:p>
    <w:p>
      <w:pPr>
        <w:pStyle w:val="ListParagraph"/>
        <w:numPr>
          <w:ilvl w:val="0"/>
          <w:numId w:val="2"/>
        </w:numPr>
      </w:pPr>
      <w:r>
        <w:t xml:space="preserve">Contract tenor (years)</w:t>
      </w:r>
    </w:p>
    <w:p>
      <w:pPr>
        <w:pStyle w:val="ListParagraph"/>
        <w:numPr>
          <w:ilvl w:val="0"/>
          <w:numId w:val="2"/>
        </w:numPr>
      </w:pPr>
      <w:r>
        <w:t xml:space="preserve">Pricing structure (discount-to-grid, %)</w:t>
      </w:r>
    </w:p>
    <w:p>
      <w:pPr>
        <w:pStyle w:val="ListParagraph"/>
        <w:numPr>
          <w:ilvl w:val="0"/>
          <w:numId w:val="2"/>
        </w:numPr>
      </w:pPr>
      <w:r>
        <w:t xml:space="preserve">Self-consumption ratio (%)</w:t>
      </w:r>
    </w:p>
    <w:p>
      <w:pPr>
        <w:pStyle w:val="ListParagraph"/>
        <w:numPr>
          <w:ilvl w:val="0"/>
          <w:numId w:val="2"/>
        </w:numPr>
      </w:pPr>
      <w:r>
        <w:t xml:space="preserve">Battery energy storage (yes / no, size)</w:t>
      </w:r>
    </w:p>
    <w:p>
      <w:pPr>
        <w:pStyle w:val="ListParagraph"/>
        <w:numPr>
          <w:ilvl w:val="0"/>
          <w:numId w:val="2"/>
        </w:numPr>
      </w:pPr>
      <w:r>
        <w:t xml:space="preserve">Commercial operation date (COD)</w:t>
      </w:r>
    </w:p>
    <w:p>
      <w:pPr>
        <w:pStyle w:val="Heading2"/>
      </w:pPr>
      <w:r>
        <w:t xml:space="preserve">B.4 EV Charging Station Dataset</w:t>
      </w:r>
    </w:p>
    <w:p>
      <w:pPr>
        <w:pStyle w:val="ListParagraph"/>
        <w:numPr>
          <w:ilvl w:val="0"/>
          <w:numId w:val="2"/>
        </w:numPr>
      </w:pPr>
      <w:r>
        <w:t xml:space="preserve">Operator / brand</w:t>
      </w:r>
    </w:p>
    <w:p>
      <w:pPr>
        <w:pStyle w:val="ListParagraph"/>
        <w:numPr>
          <w:ilvl w:val="0"/>
          <w:numId w:val="2"/>
        </w:numPr>
      </w:pPr>
      <w:r>
        <w:t xml:space="preserve">Site type (fuel station / mall / office / highway / other)</w:t>
      </w:r>
    </w:p>
    <w:p>
      <w:pPr>
        <w:pStyle w:val="ListParagraph"/>
        <w:numPr>
          <w:ilvl w:val="0"/>
          <w:numId w:val="2"/>
        </w:numPr>
      </w:pPr>
      <w:r>
        <w:t xml:space="preserve">Number of AC connectors</w:t>
      </w:r>
    </w:p>
    <w:p>
      <w:pPr>
        <w:pStyle w:val="ListParagraph"/>
        <w:numPr>
          <w:ilvl w:val="0"/>
          <w:numId w:val="2"/>
        </w:numPr>
      </w:pPr>
      <w:r>
        <w:t xml:space="preserve">Number of DC connectors</w:t>
      </w:r>
    </w:p>
    <w:p>
      <w:pPr>
        <w:pStyle w:val="ListParagraph"/>
        <w:numPr>
          <w:ilvl w:val="0"/>
          <w:numId w:val="2"/>
        </w:numPr>
      </w:pPr>
      <w:r>
        <w:t xml:space="preserve">Maximum power per connector (kW)</w:t>
      </w:r>
    </w:p>
    <w:p>
      <w:pPr>
        <w:pStyle w:val="ListParagraph"/>
        <w:numPr>
          <w:ilvl w:val="0"/>
          <w:numId w:val="2"/>
        </w:numPr>
      </w:pPr>
      <w:r>
        <w:t xml:space="preserve">Connector standards (Type 2 / CCS2 / CHAdeMO)</w:t>
      </w:r>
    </w:p>
    <w:p>
      <w:pPr>
        <w:pStyle w:val="ListParagraph"/>
        <w:numPr>
          <w:ilvl w:val="0"/>
          <w:numId w:val="2"/>
        </w:numPr>
      </w:pPr>
      <w:r>
        <w:t xml:space="preserve">Charging station management system (CSMS) / platform</w:t>
      </w:r>
    </w:p>
    <w:p>
      <w:pPr>
        <w:pStyle w:val="ListParagraph"/>
        <w:numPr>
          <w:ilvl w:val="0"/>
          <w:numId w:val="2"/>
        </w:numPr>
      </w:pPr>
      <w:r>
        <w:t xml:space="preserve">Charging service tariff (THB/kWh)</w:t>
      </w:r>
    </w:p>
    <w:p>
      <w:pPr>
        <w:pStyle w:val="ListParagraph"/>
        <w:numPr>
          <w:ilvl w:val="0"/>
          <w:numId w:val="2"/>
        </w:numPr>
      </w:pPr>
      <w:r>
        <w:t xml:space="preserve">Low Priority tariff meter (yes / no)</w:t>
      </w:r>
    </w:p>
    <w:p>
      <w:pPr>
        <w:pStyle w:val="ListParagraph"/>
        <w:numPr>
          <w:ilvl w:val="0"/>
          <w:numId w:val="2"/>
        </w:numPr>
      </w:pPr>
      <w:r>
        <w:t xml:space="preserve">Service commencement date</w:t>
      </w:r>
    </w:p>
    <w:p>
      <w:pPr>
        <w:pStyle w:val="Heading2"/>
      </w:pPr>
      <w:r>
        <w:t xml:space="preserve">B.5 Principal Government Registry Sources</w:t>
      </w:r>
    </w:p>
    <w:p>
      <w:pPr>
        <w:pStyle w:val="ListParagraph"/>
        <w:numPr>
          <w:ilvl w:val="0"/>
          <w:numId w:val="2"/>
        </w:numPr>
      </w:pPr>
      <w:r>
        <w:t xml:space="preserve">Office of the ERC — energy licensing system (electricity generation licences) and FiT procurement data</w:t>
      </w:r>
    </w:p>
    <w:p>
      <w:pPr>
        <w:pStyle w:val="ListParagraph"/>
        <w:numPr>
          <w:ilvl w:val="0"/>
          <w:numId w:val="2"/>
        </w:numPr>
      </w:pPr>
      <w:r>
        <w:t xml:space="preserve">EGAT / PEA / MEA — SPP and VSPP power producer registers</w:t>
      </w:r>
    </w:p>
    <w:p>
      <w:pPr>
        <w:pStyle w:val="ListParagraph"/>
        <w:numPr>
          <w:ilvl w:val="0"/>
          <w:numId w:val="2"/>
        </w:numPr>
      </w:pPr>
      <w:r>
        <w:t xml:space="preserve">Department of Industrial Works — factory database (Ror.Ngor.4 licences)</w:t>
      </w:r>
    </w:p>
    <w:p>
      <w:pPr>
        <w:pStyle w:val="ListParagraph"/>
        <w:numPr>
          <w:ilvl w:val="0"/>
          <w:numId w:val="2"/>
        </w:numPr>
      </w:pPr>
      <w:r>
        <w:t xml:space="preserve">DEDE — renewable energy statistics</w:t>
      </w:r>
    </w:p>
    <w:p>
      <w:pPr>
        <w:pStyle w:val="ListParagraph"/>
        <w:numPr>
          <w:ilvl w:val="0"/>
          <w:numId w:val="2"/>
        </w:numPr>
      </w:pPr>
      <w:r>
        <w:t xml:space="preserve">BOI — register of promoted investment projects</w:t>
      </w:r>
    </w:p>
    <w:p>
      <w:pPr>
        <w:pStyle w:val="ListParagraph"/>
        <w:numPr>
          <w:ilvl w:val="0"/>
          <w:numId w:val="2"/>
        </w:numPr>
      </w:pPr>
      <w:r>
        <w:t xml:space="preserve">EPPO / PEA / MEA — EV charging station data and Low Priority tariff meters</w:t>
      </w:r>
    </w:p>
    <w:p>
      <w:pPr>
        <w:pStyle w:val="ListParagraph"/>
        <w:numPr>
          <w:ilvl w:val="0"/>
          <w:numId w:val="2"/>
        </w:numPr>
      </w:pPr>
      <w:r>
        <w:t xml:space="preserve">Department of Business Development — corporate registration and financial statements</w:t>
      </w:r>
    </w:p>
    <w:p>
      <w:pPr>
        <w:pStyle w:val="Heading2"/>
      </w:pPr>
      <w:r>
        <w:t xml:space="preserve">B.6 Data Quality Assurance</w:t>
      </w:r>
    </w:p>
    <w:p>
      <w:pPr>
        <w:pStyle w:val="ListParagraph"/>
        <w:numPr>
          <w:ilvl w:val="0"/>
          <w:numId w:val="2"/>
        </w:numPr>
      </w:pPr>
      <w:r>
        <w:t xml:space="preserve">Record the retrieval date and data version at every update</w:t>
      </w:r>
    </w:p>
    <w:p>
      <w:pPr>
        <w:pStyle w:val="ListParagraph"/>
        <w:numPr>
          <w:ilvl w:val="0"/>
          <w:numId w:val="2"/>
        </w:numPr>
      </w:pPr>
      <w:r>
        <w:t xml:space="preserve">Cross-validate critical records against at least two sources (data triangulation)</w:t>
      </w:r>
    </w:p>
    <w:p>
      <w:pPr>
        <w:pStyle w:val="ListParagraph"/>
        <w:numPr>
          <w:ilvl w:val="0"/>
          <w:numId w:val="2"/>
        </w:numPr>
      </w:pPr>
      <w:r>
        <w:t xml:space="preserve">Cite sources in page footnotes and in the end-of-report reference list, per this study's citation requirements</w:t>
      </w:r>
    </w:p>
    <w:p>
      <w:pPr>
        <w:pStyle w:val="ListParagraph"/>
        <w:numPr>
          <w:ilvl w:val="0"/>
          <w:numId w:val="2"/>
        </w:numPr>
      </w:pPr>
      <w:r>
        <w:t xml:space="preserve">Assign a data steward for each dataset</w:t>
      </w:r>
    </w:p>
    <w:sectPr>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 Energy Policy and Planning Office (EPPO), Ministry of Energy, Power Development Plan (PDP) and Alternative Energy Development Plan (AEDP), https://www.eppo.go.th (accessed 18 August 2026).</w:t>
      </w:r>
    </w:p>
  </w:footnote>
  <w:footnote w:id="2">
    <w:p>
      <w:pPr>
        <w:pStyle w:val="FootnoteText"/>
      </w:pPr>
      <w:r>
        <w:rPr>
          <w:rStyle w:val="FootnoteReference"/>
        </w:rPr>
        <w:footnoteRef/>
      </w:r>
      <w:r>
        <w:t xml:space="preserve"> Office of Natural Resources and Environmental Policy and Planning (ONEP), Thailand's Long-Term Low Greenhouse Gas Emission Development Strategy (Revised Version), submitted to the UNFCCC, November 2022, https://unfccc.int/process-and-meetings/the-paris-agreement/long-term-strategies (accessed 18 August 2026).</w:t>
      </w:r>
    </w:p>
  </w:footnote>
  <w:footnote w:id="3">
    <w:p>
      <w:pPr>
        <w:pStyle w:val="FootnoteText"/>
      </w:pPr>
      <w:r>
        <w:rPr>
          <w:rStyle w:val="FootnoteReference"/>
        </w:rPr>
        <w:footnoteRef/>
      </w:r>
      <w:r>
        <w:t xml:space="preserve"> National Electric Vehicle Policy Committee, the 30@30 policy (a target of zero-emission vehicles comprising 30 per cent of total vehicle production by 2030) and the second-phase EV adoption support measures (EV3.5), 2024–2027, approved by Cabinet resolution of 19 December 2023.</w:t>
      </w:r>
    </w:p>
  </w:footnote>
  <w:footnote w:id="4">
    <w:p>
      <w:pPr>
        <w:pStyle w:val="FootnoteText"/>
      </w:pPr>
      <w:r>
        <w:rPr>
          <w:rStyle w:val="FootnoteReference"/>
        </w:rPr>
        <w:footnoteRef/>
      </w:r>
      <w:r>
        <w:t xml:space="preserve"> Energy Regulatory Commission (ERC), Regulation on the Procurement of Electricity from Renewable Energy under the Feed-in Tariff (FiT) Scheme, 2022–2030, and related notifications, https://www.erc.or.th (accessed 18 August 2026).</w:t>
      </w:r>
    </w:p>
  </w:footnote>
  <w:footnote w:id="5">
    <w:p>
      <w:pPr>
        <w:pStyle w:val="FootnoteText"/>
      </w:pPr>
      <w:r>
        <w:rPr>
          <w:rStyle w:val="FootnoteReference"/>
        </w:rPr>
        <w:footnoteRef/>
      </w:r>
      <w:r>
        <w:t xml:space="preserve"> Energy Industry Act B.E. 2550 (2007), Royal Thai Government Gazette, Vol. 124, Part 89 Kor, 10 December 2007.</w:t>
      </w:r>
    </w:p>
  </w:footnote>
  <w:footnote w:id="6">
    <w:p>
      <w:pPr>
        <w:pStyle w:val="FootnoteText"/>
      </w:pPr>
      <w:r>
        <w:rPr>
          <w:rStyle w:val="FootnoteReference"/>
        </w:rPr>
        <w:footnoteRef/>
      </w:r>
      <w:r>
        <w:t xml:space="preserve"> Thailand Board of Investment (BOI), Eligible Activities for Investment Promotion: electricity generation from renewable energy and electric vehicle charging station businesses, https://www.boi.go.th (accessed 18 August 2026).</w:t>
      </w:r>
    </w:p>
  </w:footnote>
  <w:footnote w:id="7">
    <w:p>
      <w:pPr>
        <w:pStyle w:val="FootnoteText"/>
      </w:pPr>
      <w:r>
        <w:rPr>
          <w:rStyle w:val="FootnoteReference"/>
        </w:rPr>
        <w:footnoteRef/>
      </w:r>
      <w:r>
        <w:t xml:space="preserve"> Notification of the Ministry of Natural Resources and Environment prescribing projects requiring an Environmental Impact Assessment, issued under the Enhancement and Conservation of National Environmental Quality Act (No. 2) B.E. 2561 (2018), together with the ERC's Code of Practice (CoP) requirements for projects exempted from EIA.</w:t>
      </w:r>
    </w:p>
  </w:footnote>
  <w:footnote w:id="8">
    <w:p>
      <w:pPr>
        <w:pStyle w:val="FootnoteText"/>
      </w:pPr>
      <w:r>
        <w:rPr>
          <w:rStyle w:val="FootnoteReference"/>
        </w:rPr>
        <w:footnoteRef/>
      </w:r>
      <w:r>
        <w:t xml:space="preserve"> Resolutions of the National Energy Policy Council (NEPC) and ERC regulations and notifications on the procurement of electricity from municipal solid waste under the FiT scheme, https://www.erc.or.th (accessed 18 August 2026).</w:t>
      </w:r>
    </w:p>
  </w:footnote>
  <w:footnote w:id="9">
    <w:p>
      <w:pPr>
        <w:pStyle w:val="FootnoteText"/>
      </w:pPr>
      <w:r>
        <w:rPr>
          <w:rStyle w:val="FootnoteReference"/>
        </w:rPr>
        <w:footnoteRef/>
      </w:r>
      <w:r>
        <w:t xml:space="preserve"> NEPC Resolution, 167th Meeting, 25 June 2024, approving the Direct PPA pilot scheme via Third Party Access (TPA) to the grid, capped at 2,000 MW, Energy Policy and Planning Office, https://www.eppo.go.th (accessed 18 August 2026).</w:t>
      </w:r>
    </w:p>
  </w:footnote>
  <w:footnote w:id="10">
    <w:p>
      <w:pPr>
        <w:pStyle w:val="FootnoteText"/>
      </w:pPr>
      <w:r>
        <w:rPr>
          <w:rStyle w:val="FootnoteReference"/>
        </w:rPr>
        <w:footnoteRef/>
      </w:r>
      <w:r>
        <w:t xml:space="preserve"> Notifications of the Metropolitan Electricity Authority (MEA) and the Provincial Electricity Authority (PEA) on the Low Priority electricity tariff for EV charging stations, pursuant to NEPC and ERC resolutions, https://www.mea.or.th and https://www.pea.co.th (accessed 18 August 2026).</w:t>
      </w:r>
    </w:p>
  </w:footnote>
  <w:footnote w:id="11">
    <w:p>
      <w:pPr>
        <w:pStyle w:val="FootnoteText"/>
      </w:pPr>
      <w:r>
        <w:rPr>
          <w:rStyle w:val="FootnoteReference"/>
        </w:rPr>
        <w:footnoteRef/>
      </w:r>
      <w:r>
        <w:t xml:space="preserve"> Relevant government registries and databases include the ERC's energy licensing system (https://www.erc.or.th); the SPP and VSPP power producer registers of EGAT, PEA, and MEA; the Department of Industrial Works' factory database (https://www.diw.go.th); and the BOI's register of promoted projects (https://www.boi.go.th) (accessed 18 August 2026).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30"/>
        <w:szCs w:val="30"/>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after="120" w:before="240"/>
    </w:pPr>
    <w:rPr>
      <w:rFonts w:ascii="Times New Roman" w:cs="Times New Roman" w:eastAsia="Times New Roman" w:hAnsi="Times New Roman"/>
      <w:b/>
      <w:bCs/>
      <w:color w:val="2E5395"/>
      <w:sz w:val="32"/>
      <w:szCs w:val="32"/>
    </w:rPr>
  </w:style>
  <w:style w:type="paragraph" w:styleId="Heading3">
    <w:name w:val="Heading 3"/>
    <w:basedOn w:val="Normal"/>
    <w:next w:val="Normal"/>
    <w:qFormat/>
    <w:pPr>
      <w:spacing w:after="100" w:before="200"/>
    </w:pPr>
    <w:rPr>
      <w:rFonts w:ascii="Times New Roman" w:cs="Times New Roman" w:eastAsia="Times New Roman" w:hAnsi="Times New Roman"/>
      <w:b/>
      <w:bCs/>
      <w:color w:val="404040"/>
      <w:sz w:val="30"/>
      <w:szCs w:val="3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2026-08-18T00:51:26.005Z</dcterms:created>
  <dcterms:modified xsi:type="dcterms:W3CDTF">2026-08-18T00:51:26.006Z</dcterms:modified>
</cp:coreProperties>
</file>

<file path=docProps/custom.xml><?xml version="1.0" encoding="utf-8"?>
<Properties xmlns="http://schemas.openxmlformats.org/officeDocument/2006/custom-properties" xmlns:vt="http://schemas.openxmlformats.org/officeDocument/2006/docPropsVTypes"/>
</file>