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598" w:rsidRDefault="003A7598" w:rsidP="00CD1919"/>
    <w:p w:rsidR="00CD1919" w:rsidRDefault="00CD1919" w:rsidP="00CD19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策略年化收益率</w:t>
      </w:r>
      <w:r w:rsidR="0058574A">
        <w:rPr>
          <w:rFonts w:hint="eastAsia"/>
        </w:rPr>
        <w:t>(</w:t>
      </w:r>
      <w:r w:rsidR="00D44C61">
        <w:rPr>
          <w:rStyle w:val="a4"/>
        </w:rPr>
        <w:t>Annualized Returns)</w:t>
      </w:r>
    </w:p>
    <w:p w:rsidR="00F44A6A" w:rsidRDefault="00CD1919" w:rsidP="00CD1919">
      <w:pPr>
        <w:pStyle w:val="a3"/>
        <w:ind w:left="360" w:firstLineChars="0" w:firstLine="0"/>
      </w:pPr>
      <w:r>
        <w:t>表示投资期限为一年的预期收益率。</w:t>
      </w:r>
    </w:p>
    <w:p w:rsidR="00CD1919" w:rsidRDefault="00CD1919" w:rsidP="00CD1919">
      <w:pPr>
        <w:pStyle w:val="a3"/>
        <w:ind w:left="360" w:firstLineChars="0" w:firstLine="0"/>
      </w:pPr>
      <w:r>
        <w:t>具体计算方式为</w:t>
      </w:r>
      <w:r>
        <w:t xml:space="preserve"> (</w:t>
      </w:r>
      <w:r>
        <w:t>策略最终价值</w:t>
      </w:r>
      <w:r>
        <w:t xml:space="preserve"> / </w:t>
      </w:r>
      <w:r>
        <w:t>策略初始价值</w:t>
      </w:r>
      <w:r>
        <w:t xml:space="preserve"> - 1) / </w:t>
      </w:r>
      <w:r>
        <w:t>回测交易日数量</w:t>
      </w:r>
      <w:r>
        <w:t xml:space="preserve"> × 250</w:t>
      </w:r>
    </w:p>
    <w:p w:rsidR="00CD1919" w:rsidRDefault="00F44A6A" w:rsidP="00CD1919">
      <w:pPr>
        <w:pStyle w:val="a3"/>
        <w:numPr>
          <w:ilvl w:val="0"/>
          <w:numId w:val="1"/>
        </w:numPr>
        <w:ind w:firstLineChars="0"/>
      </w:pPr>
      <w:r>
        <w:t>参考标准年化收益率</w:t>
      </w:r>
      <w:r w:rsidR="00A22985">
        <w:rPr>
          <w:rFonts w:hint="eastAsia"/>
        </w:rPr>
        <w:t>(</w:t>
      </w:r>
      <w:r w:rsidR="00BC3116">
        <w:rPr>
          <w:rStyle w:val="a4"/>
        </w:rPr>
        <w:t>Benchmark</w:t>
      </w:r>
      <w:r w:rsidR="00092946">
        <w:rPr>
          <w:rStyle w:val="a4"/>
        </w:rPr>
        <w:t xml:space="preserve"> </w:t>
      </w:r>
      <w:bookmarkStart w:id="0" w:name="_GoBack"/>
      <w:bookmarkEnd w:id="0"/>
      <w:r w:rsidR="00A22985">
        <w:rPr>
          <w:rStyle w:val="a4"/>
        </w:rPr>
        <w:t>Returns</w:t>
      </w:r>
      <w:r w:rsidR="00A22985">
        <w:rPr>
          <w:rFonts w:hint="eastAsia"/>
        </w:rPr>
        <w:t>)</w:t>
      </w:r>
    </w:p>
    <w:p w:rsidR="00F44A6A" w:rsidRDefault="00F44A6A" w:rsidP="00F44A6A">
      <w:pPr>
        <w:pStyle w:val="a3"/>
        <w:ind w:left="360" w:firstLineChars="0" w:firstLine="0"/>
      </w:pPr>
      <w:r>
        <w:t>用于计算</w:t>
      </w:r>
      <w:r>
        <w:rPr>
          <w:rFonts w:hint="eastAsia"/>
        </w:rPr>
        <w:t>Alph</w:t>
      </w:r>
      <w:r>
        <w:t>a</w:t>
      </w:r>
      <w:r>
        <w:t>与</w:t>
      </w:r>
      <w:r>
        <w:rPr>
          <w:rFonts w:hint="eastAsia"/>
        </w:rPr>
        <w:t>Beta</w:t>
      </w:r>
      <w:r>
        <w:rPr>
          <w:rFonts w:hint="eastAsia"/>
        </w:rPr>
        <w:t>，</w:t>
      </w:r>
      <w:r>
        <w:t>一般以上证指数为参考标准</w:t>
      </w:r>
    </w:p>
    <w:p w:rsidR="00F44A6A" w:rsidRDefault="00F44A6A" w:rsidP="00F44A6A">
      <w:pPr>
        <w:pStyle w:val="a3"/>
        <w:ind w:left="360" w:firstLineChars="0" w:firstLine="0"/>
      </w:pPr>
      <w:r>
        <w:t>计算方式为</w:t>
      </w:r>
      <w:r>
        <w:t xml:space="preserve"> (</w:t>
      </w:r>
      <w:r>
        <w:t>参考标准最终指数</w:t>
      </w:r>
      <w:r>
        <w:t xml:space="preserve"> / </w:t>
      </w:r>
      <w:r>
        <w:t>参考标准初始指数</w:t>
      </w:r>
      <w:r>
        <w:t xml:space="preserve"> - 1) / </w:t>
      </w:r>
      <w:r>
        <w:t>回测交易日数量</w:t>
      </w:r>
      <w:r>
        <w:t xml:space="preserve"> × 250</w:t>
      </w:r>
    </w:p>
    <w:p w:rsidR="00CD1919" w:rsidRDefault="00DF7E78" w:rsidP="00CD1919">
      <w:pPr>
        <w:pStyle w:val="a3"/>
        <w:numPr>
          <w:ilvl w:val="0"/>
          <w:numId w:val="1"/>
        </w:numPr>
        <w:ind w:firstLineChars="0"/>
      </w:pPr>
      <w:r>
        <w:t>阿尔法</w:t>
      </w:r>
      <w:r w:rsidR="00BA3954">
        <w:rPr>
          <w:rFonts w:hint="eastAsia"/>
        </w:rPr>
        <w:t>(</w:t>
      </w:r>
      <w:r w:rsidR="00BA3954">
        <w:rPr>
          <w:rStyle w:val="a4"/>
        </w:rPr>
        <w:t>Alpha</w:t>
      </w:r>
      <w:r w:rsidR="00BA3954">
        <w:rPr>
          <w:rFonts w:hint="eastAsia"/>
        </w:rPr>
        <w:t>)</w:t>
      </w:r>
    </w:p>
    <w:p w:rsidR="00035C0B" w:rsidRDefault="00187FB1" w:rsidP="00187FB1">
      <w:pPr>
        <w:pStyle w:val="a3"/>
        <w:ind w:left="360" w:firstLineChars="0" w:firstLine="0"/>
      </w:pPr>
      <w:r>
        <w:rPr>
          <w:rFonts w:hint="eastAsia"/>
        </w:rPr>
        <w:t>表</w:t>
      </w:r>
      <w:r>
        <w:t>示实际风险回报和平均预期风险回报的差额，衡量了投资的非系统性风险。</w:t>
      </w:r>
    </w:p>
    <w:p w:rsidR="00035C0B" w:rsidRDefault="00035C0B" w:rsidP="00187FB1">
      <w:pPr>
        <w:pStyle w:val="a3"/>
        <w:ind w:left="360" w:firstLineChars="0" w:firstLine="0"/>
      </w:pPr>
      <w:r>
        <w:t>比如投资者获得了</w:t>
      </w:r>
      <w:r>
        <w:t>12%</w:t>
      </w:r>
      <w:r>
        <w:t>的回报，其基准获得了</w:t>
      </w:r>
      <w:r>
        <w:t>10%</w:t>
      </w:r>
      <w:r>
        <w:t>的回报，那么</w:t>
      </w:r>
      <w:r>
        <w:t>Alpha</w:t>
      </w:r>
      <w:r>
        <w:t>或者价值增值的部分就是</w:t>
      </w:r>
      <w:r>
        <w:t>2%</w:t>
      </w:r>
    </w:p>
    <w:p w:rsidR="00B95B6E" w:rsidRPr="00187FB1" w:rsidRDefault="00187FB1" w:rsidP="00B95B6E">
      <w:pPr>
        <w:pStyle w:val="a3"/>
        <w:ind w:left="360" w:firstLineChars="0" w:firstLine="0"/>
      </w:pPr>
      <w:r>
        <w:t>计算公式为：（账户年化收益</w:t>
      </w:r>
      <w:r>
        <w:t>-</w:t>
      </w:r>
      <w:r>
        <w:t>无风险收益）</w:t>
      </w:r>
      <w:r>
        <w:t>-beta*</w:t>
      </w:r>
      <w:r>
        <w:t>（参考基准年化收益</w:t>
      </w:r>
      <w:r>
        <w:t>-</w:t>
      </w:r>
      <w:r>
        <w:t>无风险收益）。</w:t>
      </w:r>
    </w:p>
    <w:p w:rsidR="00CD1919" w:rsidRDefault="00310FFE" w:rsidP="00CD1919">
      <w:pPr>
        <w:pStyle w:val="a3"/>
        <w:numPr>
          <w:ilvl w:val="0"/>
          <w:numId w:val="1"/>
        </w:numPr>
        <w:ind w:firstLineChars="0"/>
      </w:pPr>
      <w:r>
        <w:t>贝塔</w:t>
      </w:r>
      <w:r>
        <w:rPr>
          <w:rFonts w:hint="eastAsia"/>
        </w:rPr>
        <w:t>(</w:t>
      </w:r>
      <w:r>
        <w:rPr>
          <w:rStyle w:val="a4"/>
        </w:rPr>
        <w:t>Beta)</w:t>
      </w:r>
    </w:p>
    <w:p w:rsidR="00B95B6E" w:rsidRDefault="00B95B6E" w:rsidP="00B95B6E">
      <w:pPr>
        <w:pStyle w:val="a3"/>
        <w:ind w:left="360" w:firstLineChars="0" w:firstLine="0"/>
      </w:pPr>
      <w:r>
        <w:t>表示投资的系统性风险，反映了策略对大盘变化的敏感性。例如一个策略的</w:t>
      </w:r>
      <w:r>
        <w:t>Beta</w:t>
      </w:r>
      <w:r>
        <w:t>为</w:t>
      </w:r>
      <w:r>
        <w:t>1.3</w:t>
      </w:r>
      <w:r>
        <w:t>，则大盘涨</w:t>
      </w:r>
      <w:r>
        <w:t>1%</w:t>
      </w:r>
      <w:r>
        <w:t>的时候，策略可能涨</w:t>
      </w:r>
      <w:r>
        <w:t>1.3%</w:t>
      </w:r>
      <w:r>
        <w:t>，反之亦然；如果一个策略的</w:t>
      </w:r>
      <w:r>
        <w:t>Beta</w:t>
      </w:r>
      <w:r>
        <w:t>为</w:t>
      </w:r>
      <w:r>
        <w:t>-1.3</w:t>
      </w:r>
      <w:r>
        <w:t>，说明大盘涨</w:t>
      </w:r>
      <w:r>
        <w:t>1%</w:t>
      </w:r>
      <w:r>
        <w:t>的时候，策略可能跌</w:t>
      </w:r>
      <w:r>
        <w:t>1.3%</w:t>
      </w:r>
      <w:r>
        <w:t>，反之亦然</w:t>
      </w:r>
    </w:p>
    <w:p w:rsidR="00EF050C" w:rsidRDefault="00EF050C" w:rsidP="00B95B6E">
      <w:pPr>
        <w:pStyle w:val="a3"/>
        <w:ind w:left="360" w:firstLineChars="0" w:firstLine="0"/>
      </w:pPr>
      <w:r>
        <w:t>计算公式为：账户日收益与参考基准日收益的协方差</w:t>
      </w:r>
      <w:r>
        <w:t xml:space="preserve"> / </w:t>
      </w:r>
      <w:r>
        <w:t>参考基准日收益的方差。</w:t>
      </w:r>
    </w:p>
    <w:p w:rsidR="00CD1919" w:rsidRPr="00B30716" w:rsidRDefault="00B33F12" w:rsidP="00CD1919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t>策略收益波动率</w:t>
      </w:r>
      <w:r>
        <w:rPr>
          <w:rFonts w:hint="eastAsia"/>
        </w:rPr>
        <w:t>(</w:t>
      </w:r>
      <w:r>
        <w:rPr>
          <w:rStyle w:val="a4"/>
        </w:rPr>
        <w:t>Volatility)</w:t>
      </w:r>
    </w:p>
    <w:p w:rsidR="00B30716" w:rsidRDefault="009328F8" w:rsidP="00B30716">
      <w:pPr>
        <w:pStyle w:val="a3"/>
        <w:ind w:left="360" w:firstLineChars="0" w:firstLine="0"/>
      </w:pPr>
      <w:r>
        <w:t>衡量了策略收益的波动情况即风险</w:t>
      </w:r>
      <w:r w:rsidR="00B30716">
        <w:t>，波动越大代表策略风险越高</w:t>
      </w:r>
    </w:p>
    <w:p w:rsidR="009328F8" w:rsidRPr="009328F8" w:rsidRDefault="009328F8" w:rsidP="00B30716">
      <w:pPr>
        <w:pStyle w:val="a3"/>
        <w:ind w:left="360" w:firstLineChars="0" w:firstLine="0"/>
      </w:pPr>
      <w:r>
        <w:t>计算公式为：账户日收益的年化标准差</w:t>
      </w:r>
      <w:r w:rsidR="00B052B7">
        <w:t>即</w:t>
      </w:r>
      <w:r w:rsidR="00B052B7">
        <w:rPr>
          <w:rFonts w:hint="eastAsia"/>
        </w:rPr>
        <w:t xml:space="preserve"> sqrt</w:t>
      </w:r>
      <w:r w:rsidR="00B052B7">
        <w:t>(250) * std(</w:t>
      </w:r>
      <w:r w:rsidR="00B052B7">
        <w:t>日收益率</w:t>
      </w:r>
      <w:r w:rsidR="00B052B7">
        <w:t>)</w:t>
      </w:r>
    </w:p>
    <w:p w:rsidR="00CD1919" w:rsidRPr="00FC13E5" w:rsidRDefault="004276B2" w:rsidP="00CD1919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t>夏普比率</w:t>
      </w:r>
      <w:r>
        <w:rPr>
          <w:rFonts w:hint="eastAsia"/>
        </w:rPr>
        <w:t>(</w:t>
      </w:r>
      <w:r>
        <w:rPr>
          <w:rStyle w:val="a4"/>
        </w:rPr>
        <w:t>Sharpe Ratio)</w:t>
      </w:r>
    </w:p>
    <w:p w:rsidR="00FC13E5" w:rsidRDefault="00FC13E5" w:rsidP="00FC13E5">
      <w:pPr>
        <w:pStyle w:val="a3"/>
        <w:ind w:left="360" w:firstLineChars="0" w:firstLine="0"/>
      </w:pPr>
      <w:r>
        <w:t>表示每承受一单位总风险，会产生多少的超额报酬。</w:t>
      </w:r>
    </w:p>
    <w:p w:rsidR="00FC13E5" w:rsidRDefault="00FC13E5" w:rsidP="00FC13E5">
      <w:pPr>
        <w:pStyle w:val="a3"/>
        <w:ind w:left="360" w:firstLineChars="0" w:firstLine="0"/>
      </w:pPr>
      <w:r>
        <w:t>计算方法为</w:t>
      </w:r>
      <w:r w:rsidR="00F653E5">
        <w:rPr>
          <w:rFonts w:hint="eastAsia"/>
        </w:rPr>
        <w:t>：</w:t>
      </w:r>
      <w:r>
        <w:t>(</w:t>
      </w:r>
      <w:r>
        <w:t>策略年化收益率</w:t>
      </w:r>
      <w:r>
        <w:t xml:space="preserve"> - </w:t>
      </w:r>
      <w:r>
        <w:t>回测起始交易日的无风险利率</w:t>
      </w:r>
      <w:r>
        <w:t xml:space="preserve">) / </w:t>
      </w:r>
      <w:r>
        <w:t>策略收益波动率</w:t>
      </w:r>
      <w:r>
        <w:t xml:space="preserve"> </w:t>
      </w:r>
      <w:r>
        <w:t>。</w:t>
      </w:r>
    </w:p>
    <w:p w:rsidR="00CD1919" w:rsidRPr="00806466" w:rsidRDefault="0051689A" w:rsidP="00CD1919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t>信息比率</w:t>
      </w:r>
      <w:r>
        <w:rPr>
          <w:rFonts w:hint="eastAsia"/>
        </w:rPr>
        <w:t>(</w:t>
      </w:r>
      <w:r>
        <w:rPr>
          <w:rStyle w:val="a4"/>
        </w:rPr>
        <w:t>Information Ratio)</w:t>
      </w:r>
    </w:p>
    <w:p w:rsidR="003F1358" w:rsidRDefault="00806466" w:rsidP="00806466">
      <w:pPr>
        <w:pStyle w:val="a3"/>
        <w:ind w:left="360" w:firstLineChars="0" w:firstLine="0"/>
      </w:pPr>
      <w:r>
        <w:t>信息比率以马克维茨的均异模型为基础，用来衡量超额风险所带来的超额收益。它表示单位主动风险所带来的超额收益。</w:t>
      </w:r>
    </w:p>
    <w:p w:rsidR="00806466" w:rsidRDefault="00806466" w:rsidP="00806466">
      <w:pPr>
        <w:pStyle w:val="a3"/>
        <w:ind w:left="360" w:firstLineChars="0" w:firstLine="0"/>
      </w:pPr>
      <w:r>
        <w:t>计算公式为：（账户日收益</w:t>
      </w:r>
      <w:r>
        <w:t xml:space="preserve"> - </w:t>
      </w:r>
      <w:r>
        <w:t>参考基准日收益）的年化均值</w:t>
      </w:r>
      <w:r>
        <w:t>/</w:t>
      </w:r>
      <w:r>
        <w:t>年化标准差。</w:t>
      </w:r>
    </w:p>
    <w:p w:rsidR="00CD1919" w:rsidRPr="00B424CB" w:rsidRDefault="00B424CB" w:rsidP="00CD1919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t>最大回撤</w:t>
      </w:r>
      <w:r>
        <w:rPr>
          <w:rFonts w:hint="eastAsia"/>
        </w:rPr>
        <w:t>(</w:t>
      </w:r>
      <w:r>
        <w:rPr>
          <w:rStyle w:val="a4"/>
        </w:rPr>
        <w:t>Max Drawdown)</w:t>
      </w:r>
    </w:p>
    <w:p w:rsidR="00B424CB" w:rsidRDefault="00B424CB" w:rsidP="00B424CB">
      <w:pPr>
        <w:pStyle w:val="a3"/>
        <w:ind w:left="360" w:firstLineChars="0" w:firstLine="0"/>
      </w:pPr>
      <w:r>
        <w:t>最大回撤就是从一个高点到一个低点最大的下跌幅度，用来描述我们的策略可能出现的最糟糕的情况，衡量了最极端可能的亏损</w:t>
      </w:r>
      <w:r>
        <w:rPr>
          <w:rFonts w:hint="eastAsia"/>
        </w:rPr>
        <w:t>。</w:t>
      </w:r>
    </w:p>
    <w:p w:rsidR="00B424CB" w:rsidRDefault="00CA04B7" w:rsidP="00B424CB">
      <w:pPr>
        <w:pStyle w:val="a3"/>
        <w:ind w:left="360" w:firstLineChars="0" w:firstLine="0"/>
      </w:pPr>
      <w:r>
        <w:t>计算公式</w:t>
      </w:r>
      <w:r w:rsidR="00B424CB">
        <w:t>为</w:t>
      </w:r>
      <w:r>
        <w:rPr>
          <w:rFonts w:hint="eastAsia"/>
        </w:rPr>
        <w:t>：</w:t>
      </w:r>
      <w:r w:rsidR="00B424CB">
        <w:t xml:space="preserve">max(1 - </w:t>
      </w:r>
      <w:r w:rsidR="00B424CB">
        <w:t>策略当日价值</w:t>
      </w:r>
      <w:r w:rsidR="00B424CB">
        <w:t xml:space="preserve"> / </w:t>
      </w:r>
      <w:r w:rsidR="00B424CB">
        <w:t>当日之前虚拟账户最高价值</w:t>
      </w:r>
      <w:r w:rsidR="00B424CB">
        <w:t>)</w:t>
      </w:r>
    </w:p>
    <w:p w:rsidR="00CD1919" w:rsidRDefault="000943E9" w:rsidP="00CD1919">
      <w:pPr>
        <w:pStyle w:val="a3"/>
        <w:numPr>
          <w:ilvl w:val="0"/>
          <w:numId w:val="1"/>
        </w:numPr>
        <w:ind w:firstLineChars="0"/>
      </w:pPr>
      <w:r>
        <w:t>胜率</w:t>
      </w:r>
      <w:r>
        <w:rPr>
          <w:rFonts w:hint="eastAsia"/>
        </w:rPr>
        <w:t>(</w:t>
      </w:r>
      <w:r w:rsidR="00103479">
        <w:rPr>
          <w:rStyle w:val="a4"/>
        </w:rPr>
        <w:t>WinRate</w:t>
      </w:r>
      <w:r>
        <w:rPr>
          <w:rStyle w:val="a4"/>
        </w:rPr>
        <w:t>)</w:t>
      </w:r>
    </w:p>
    <w:p w:rsidR="00CA04B7" w:rsidRDefault="00CA04B7" w:rsidP="00CA04B7">
      <w:pPr>
        <w:ind w:left="360"/>
      </w:pPr>
      <w:r>
        <w:t>表示策略赢的概率</w:t>
      </w:r>
    </w:p>
    <w:p w:rsidR="00CA04B7" w:rsidRDefault="00CA04B7" w:rsidP="006C1FA1">
      <w:pPr>
        <w:ind w:left="360"/>
      </w:pPr>
      <w:r>
        <w:t>计算公式为</w:t>
      </w:r>
      <w:r>
        <w:rPr>
          <w:rFonts w:hint="eastAsia"/>
        </w:rPr>
        <w:t>：</w:t>
      </w:r>
      <w:r w:rsidR="005B6A98">
        <w:rPr>
          <w:rFonts w:hint="eastAsia"/>
        </w:rPr>
        <w:t>日收益为正的天数</w:t>
      </w:r>
      <w:r w:rsidR="005B6A98">
        <w:rPr>
          <w:rFonts w:hint="eastAsia"/>
        </w:rPr>
        <w:t>/</w:t>
      </w:r>
      <w:r w:rsidR="005B6A98">
        <w:rPr>
          <w:rFonts w:hint="eastAsia"/>
        </w:rPr>
        <w:t>回测交易日数量</w:t>
      </w:r>
    </w:p>
    <w:p w:rsidR="00CD1919" w:rsidRDefault="006C1FA1" w:rsidP="00CD1919">
      <w:pPr>
        <w:pStyle w:val="a3"/>
        <w:numPr>
          <w:ilvl w:val="0"/>
          <w:numId w:val="1"/>
        </w:numPr>
        <w:ind w:firstLineChars="0"/>
      </w:pPr>
      <w:r>
        <w:t>最大连续上涨天数</w:t>
      </w:r>
      <w:r w:rsidR="00B03C98">
        <w:rPr>
          <w:rFonts w:hint="eastAsia"/>
        </w:rPr>
        <w:t>(</w:t>
      </w:r>
      <w:r w:rsidR="00B03C98">
        <w:rPr>
          <w:rStyle w:val="a4"/>
        </w:rPr>
        <w:t>MaxContinuousWinDays)</w:t>
      </w:r>
    </w:p>
    <w:p w:rsidR="006C1FA1" w:rsidRDefault="006C1FA1" w:rsidP="006C1FA1">
      <w:pPr>
        <w:pStyle w:val="a3"/>
        <w:ind w:left="360" w:firstLineChars="0" w:firstLine="0"/>
      </w:pPr>
      <w:r>
        <w:t>衡量了我们策略连续盈利的最大天数</w:t>
      </w:r>
    </w:p>
    <w:p w:rsidR="00C11DDA" w:rsidRDefault="00C11DDA" w:rsidP="006C1FA1">
      <w:pPr>
        <w:pStyle w:val="a3"/>
        <w:ind w:left="360" w:firstLineChars="0" w:firstLine="0"/>
      </w:pPr>
      <w:r>
        <w:t>计算公式为</w:t>
      </w:r>
      <w:r>
        <w:rPr>
          <w:rFonts w:hint="eastAsia"/>
        </w:rPr>
        <w:t>：</w:t>
      </w:r>
      <w:r>
        <w:rPr>
          <w:rFonts w:hint="eastAsia"/>
        </w:rPr>
        <w:t>Max</w:t>
      </w:r>
      <w:r>
        <w:t>(</w:t>
      </w:r>
      <w:r>
        <w:t>连续日收益为正的天数</w:t>
      </w:r>
      <w:r>
        <w:t>)</w:t>
      </w:r>
    </w:p>
    <w:p w:rsidR="00CD1919" w:rsidRDefault="008C725A" w:rsidP="00CD1919">
      <w:pPr>
        <w:pStyle w:val="a3"/>
        <w:numPr>
          <w:ilvl w:val="0"/>
          <w:numId w:val="1"/>
        </w:numPr>
        <w:ind w:firstLineChars="0"/>
      </w:pPr>
      <w:r>
        <w:t>最大连续下跌天数</w:t>
      </w:r>
      <w:r>
        <w:rPr>
          <w:rFonts w:hint="eastAsia"/>
        </w:rPr>
        <w:t>(</w:t>
      </w:r>
      <w:r w:rsidR="008B0C2F">
        <w:rPr>
          <w:rStyle w:val="a4"/>
        </w:rPr>
        <w:t>MaxContinuousLoss</w:t>
      </w:r>
      <w:r>
        <w:rPr>
          <w:rStyle w:val="a4"/>
        </w:rPr>
        <w:t>Days</w:t>
      </w:r>
      <w:r>
        <w:rPr>
          <w:rFonts w:hint="eastAsia"/>
        </w:rPr>
        <w:t>)</w:t>
      </w:r>
    </w:p>
    <w:p w:rsidR="008C725A" w:rsidRDefault="008C725A" w:rsidP="008C725A">
      <w:pPr>
        <w:pStyle w:val="a3"/>
        <w:ind w:left="360" w:firstLineChars="0" w:firstLine="0"/>
      </w:pPr>
      <w:r>
        <w:t>衡量了我们策略连续亏损的最大天数。或者说策略连续失效的次数。这个指标很重要，在实战中，若连续失败的次数多了，会动摇自己的信心，使自己很难跟着策略走下去</w:t>
      </w:r>
    </w:p>
    <w:p w:rsidR="00CD1919" w:rsidRDefault="002E405F" w:rsidP="00356266">
      <w:pPr>
        <w:pStyle w:val="a3"/>
        <w:ind w:left="360" w:firstLineChars="0" w:firstLine="0"/>
      </w:pPr>
      <w:r>
        <w:t>计算公式为</w:t>
      </w:r>
      <w:r>
        <w:rPr>
          <w:rFonts w:hint="eastAsia"/>
        </w:rPr>
        <w:t>：</w:t>
      </w:r>
      <w:r>
        <w:rPr>
          <w:rFonts w:hint="eastAsia"/>
        </w:rPr>
        <w:t>Max</w:t>
      </w:r>
      <w:r>
        <w:t>(</w:t>
      </w:r>
      <w:r>
        <w:t>连续日收益为负的天数</w:t>
      </w:r>
      <w:r>
        <w:t>)</w:t>
      </w:r>
    </w:p>
    <w:sectPr w:rsidR="00CD1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E722E"/>
    <w:multiLevelType w:val="hybridMultilevel"/>
    <w:tmpl w:val="BA3C205C"/>
    <w:lvl w:ilvl="0" w:tplc="F8AEB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42"/>
    <w:rsid w:val="00035C0B"/>
    <w:rsid w:val="00092946"/>
    <w:rsid w:val="000943E9"/>
    <w:rsid w:val="00103479"/>
    <w:rsid w:val="00187FB1"/>
    <w:rsid w:val="001C10F1"/>
    <w:rsid w:val="002E405F"/>
    <w:rsid w:val="00310FFE"/>
    <w:rsid w:val="003218FC"/>
    <w:rsid w:val="00335B42"/>
    <w:rsid w:val="00356266"/>
    <w:rsid w:val="00377F89"/>
    <w:rsid w:val="003A7598"/>
    <w:rsid w:val="003B30EB"/>
    <w:rsid w:val="003F1358"/>
    <w:rsid w:val="004276B2"/>
    <w:rsid w:val="0051689A"/>
    <w:rsid w:val="0058574A"/>
    <w:rsid w:val="005B6A98"/>
    <w:rsid w:val="006C1FA1"/>
    <w:rsid w:val="006E4042"/>
    <w:rsid w:val="006E50A6"/>
    <w:rsid w:val="007C5FF4"/>
    <w:rsid w:val="00806466"/>
    <w:rsid w:val="00832A2E"/>
    <w:rsid w:val="008B0C2F"/>
    <w:rsid w:val="008C725A"/>
    <w:rsid w:val="009250EC"/>
    <w:rsid w:val="009328F8"/>
    <w:rsid w:val="009645A4"/>
    <w:rsid w:val="00A22985"/>
    <w:rsid w:val="00B03C98"/>
    <w:rsid w:val="00B052B7"/>
    <w:rsid w:val="00B2576E"/>
    <w:rsid w:val="00B30716"/>
    <w:rsid w:val="00B33F12"/>
    <w:rsid w:val="00B424CB"/>
    <w:rsid w:val="00B95B6E"/>
    <w:rsid w:val="00BA3954"/>
    <w:rsid w:val="00BC3116"/>
    <w:rsid w:val="00C11DDA"/>
    <w:rsid w:val="00CA04B7"/>
    <w:rsid w:val="00CD1919"/>
    <w:rsid w:val="00D44C61"/>
    <w:rsid w:val="00DF7E78"/>
    <w:rsid w:val="00EF050C"/>
    <w:rsid w:val="00F44A6A"/>
    <w:rsid w:val="00F653E5"/>
    <w:rsid w:val="00F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E6186-44E6-4536-A3DE-68586447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19"/>
    <w:pPr>
      <w:ind w:firstLineChars="200" w:firstLine="420"/>
    </w:pPr>
  </w:style>
  <w:style w:type="character" w:styleId="a4">
    <w:name w:val="Strong"/>
    <w:basedOn w:val="a0"/>
    <w:uiPriority w:val="22"/>
    <w:qFormat/>
    <w:rsid w:val="00D44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Xu</dc:creator>
  <cp:keywords/>
  <dc:description/>
  <cp:lastModifiedBy>Jun Xu</cp:lastModifiedBy>
  <cp:revision>45</cp:revision>
  <dcterms:created xsi:type="dcterms:W3CDTF">2016-10-22T07:56:00Z</dcterms:created>
  <dcterms:modified xsi:type="dcterms:W3CDTF">2016-10-25T10:01:00Z</dcterms:modified>
</cp:coreProperties>
</file>