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C98A"/>
          <w:sz w:val="120"/>
          <w:szCs w:val="120"/>
        </w:rPr>
        <w:t xml:space="preserve">+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5742A"/>
          <w:sz w:val="80"/>
          <w:szCs w:val="80"/>
        </w:rPr>
        <w:t xml:space="preserve">BELEGCHAT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410"/>
          <w:sz w:val="28"/>
          <w:szCs w:val="28"/>
        </w:rPr>
        <w:t xml:space="preserve">GOBD-VERFAHRENSDOKUMENTATION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7A6A58"/>
          <w:sz w:val="22"/>
          <w:szCs w:val="22"/>
        </w:rPr>
        <w:t xml:space="preserve">Version 1.0 · Stand: 13. Juli 2026 · Vertraulich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5742A"/>
          <w:sz w:val="20"/>
          <w:szCs w:val="20"/>
        </w:rPr>
        <w:t xml:space="preserve">BERENT.AI  ·  Beratung + Entwicklung</w:t>
      </w:r>
    </w:p>
    <w:p>
      <w:r>
        <w:br w:type="page"/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01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Allgemeine Beschreibung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A2018"/>
          <w:sz w:val="21"/>
          <w:szCs w:val="21"/>
        </w:rPr>
        <w:t xml:space="preserve">BelegChat ist ein digitales Belegerfassungs- und Übergabesystem. Belege (Rechnungen, Quittungen, Gutschriften) werden per Threema-Foto oder als PDF erfasst, per OCR ausgelesen, mit einem SKR04-Kontierungsvorschlag versehen, revisionssicher archiviert, im Web-Dashboard geprüft und freigegeben sowie als DATEV-Buchungsstapel (EXTF) an die Steuerkanzlei übergeben.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1.1 Geltungsbereich und Verantwortlichkeiten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547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Zuständigkeit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Betreiber / fachlich Verantwortlicher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Marcus Kunkel, BERENT.AI · Beratung + Entwicklung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Systementwicklung und -betrieb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BERENT.AI (Eigenentwicklung; Änderungen versioniert über Git/GitHub)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Buchführung / steuerliche Würdigung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Steuerkanzlei (DATEV Re:wesen; Beraternummer 4050, Mandant 22357)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Erfasste Einheit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Firma 01 · ein Mandant je Threema-ID, mandantengetrennte Datenhaltung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1.2 Rechtlicher Rahmen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A2018"/>
          <w:sz w:val="21"/>
          <w:szCs w:val="21"/>
        </w:rPr>
        <w:t xml:space="preserve">Die Ausgestaltung orientiert sich an den GoBD (BMF-Schreiben zur ordnungsmäßigen Führung und Aufbewahrung von Büchern, Aufzeichnungen und Unterlagen in elektronischer Form). Kernprinzipien und ihre technische Umsetzung sind in Kapitel 03 und 04 beschrieben: Unveränderbarkeit, Nachvollziehbarkeit, Vollständigkeit, zeitgerechte Erfassung und Datensicherheit.</w:t>
      </w:r>
    </w:p>
    <w:p>
      <w:pPr>
        <w:pBdr>
          <w:left w:val="single" w:color="B5742A" w:sz="16" w:space="10"/>
        </w:pBdr>
        <w:shd w:fill="FDF8F3" w:val="clear"/>
        <w:spacing w:after="160" w:before="100"/>
        <w:ind w:left="800"/>
      </w:pPr>
      <w:r>
        <w:rPr>
          <w:rFonts w:ascii="Arial" w:cs="Arial" w:eastAsia="Arial" w:hAnsi="Arial"/>
          <w:i/>
          <w:iCs/>
          <w:color w:val="7A6A58"/>
          <w:sz w:val="19"/>
          <w:szCs w:val="19"/>
        </w:rPr>
        <w:t xml:space="preserve">ℹ  Dieses Dokument beschreibt das Verfahren beim Betreiber. Die Ordnungsmäßigkeit der Buchführung selbst verantwortet die Steuerkanzlei auf Basis der übergebenen Stapel und Originalbelege.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  <w:r>
        <w:rPr>
          <w:rFonts w:ascii="Arial" w:cs="Arial" w:eastAsia="Arial" w:hAnsi="Arial"/>
          <w:color w:val="B5742A"/>
          <w:sz w:val="18"/>
          <w:szCs w:val="18"/>
        </w:rPr>
        <w:t xml:space="preserve">  +  </w:t>
      </w: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02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Anwenderdokumentation (Beleg-Lebenszyklus)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2.1 Eingangskanal Threema (Foto)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Mandant fotografiert den Beleg im Threema-Chat (Ende-zu-Ende-verschlüsselt) an die Gateway-ID *BERENT2*.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Nach Integritätsprüfung des Fotos antwortet das System je Seite: „Seite N erhalten. Scanne eine weitere Seite oder antworte mit Fertig.“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„Fertig“ schließt den Beleg ab: OCR über alle Seiten, KI-Kontierungsvorschlag (SKR04), Beleganlage mit Status „Vorschlag“, Abschlussbestätigung über *BERENT1*.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2.2 Eingangskanal PDF (Hot-Folder / CLI)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PDF-Dateien werden im Ordner „Belege/Input“ abgelegt; das Import-Werkzeug überträgt sie an den gesicherten Webhook (Bearer-Token).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Die PDF wird unverändert als Original archiviert (kein Seiten-Split; Entscheidung ADR-04), OCR und Kontierung laufen wie beim Threema-Kanal.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Erfolgreich erfasste Dateien werden automatisch in die Jahresablage „StB Belege &lt;Belegjahr&gt;“ einsortiert; Fehler und Duplikate landen nachvollziehbar in „Fehler Import“ mit Fehlerprotokoll.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2.3 Prüfung und Freigabe (Dashboard)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Anmeldung unter app.belegchat.de ausschließlich per Threema-ID und Passkey (WebAuthn); keine Passwörter.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Der Mandant sieht ausschließlich eigene Belege (Mandantentrennung auf Datenbankebene, Kapitel 4.3).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Freigabe je Beleg: Prüfung der erkannten Daten, bei Bedarf Korrektur des Sachkontos (SKR04-Auswahl, protokolliert als konto_geaendert), dann Statuswechsel auf „Geprüft“ — ab hier ist der Beleg festgeschrieben.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2.4 Übergabe an die Steuerkanzlei (DATEV-Export)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Unter /export wird je Zeitraum (Monat/Quartal/Jahr) ein DATEV-Buchungsstapel (EXTF 700, Formatversion 9, SKR04) erzeugt; die Belege wechseln in den Status „Exportiert“.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Jeder Export wird in der Exporthistorie geführt und kann jederzeit deterministisch aus den festgeschriebenen Belegen erneut heruntergeladen werden.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Buchungslogik der Übergabe: Bruttobetrag, Sachkonto gegen Gegenkonto 1800 (konfigurierbar), ohne Steuerschlüssel — die steuerliche Verarbeitung erfolgt in der Kanzlei.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  <w:r>
        <w:rPr>
          <w:rFonts w:ascii="Arial" w:cs="Arial" w:eastAsia="Arial" w:hAnsi="Arial"/>
          <w:color w:val="B5742A"/>
          <w:sz w:val="18"/>
          <w:szCs w:val="18"/>
        </w:rPr>
        <w:t xml:space="preserve">  +  </w:t>
      </w: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03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Erfüllung der GoBD-Anforderungen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9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617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Technische Umsetzung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Unveränderbarkeit der Originale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Belegseiten/PDFs werden im Objektspeicher ohne Überschreib-Möglichkeit abgelegt; Datenbank-Trigger verbieten jede Änderung an Belegseiten (UPDATE generell, DELETE bei festgeschriebenem Beleg).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Unveränderbarkeit der Buchungsdaten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Ab Status „Geprüft“ friert ein Datenbank-Trigger alle GoBD-relevanten Felder ein; erlaubt bleibt nur der Wechsel zu „Exportiert“ mit Exportdatum. Kein Löschen festgeschriebener Belege.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Integrität / Identität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SHA-256-Hash je Original (Foto je Seite bzw. PDF-Datei) und je Beleg; Formatprüfung per Constraint; Hash im Audit-Protokoll und in der Belegansicht sichtbar.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Zeitgerechte Erfassung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archived_at dokumentiert den tatsächlichen Upload-Zeitpunkt jedes Originals; created_at/geprueft_am/export_datum bilden die weitere Kette.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Vollständigkeit / Duplikate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Eindeutigkeit je Mandant über den Original-Hash (Unique-Index); erneut eingereichte identische Belege werden mit Verweis auf die vorhandene Belegnummer abgewiesen.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Nachvollziehbarkeit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Lückenloses, append-only Audit-Protokoll je Beleg (erstellt, seite_archiviert, konto_geaendert, status_change, beleg_freigegeben, dokumentation_bestaetigt, export); UPDATE/DELETE auf dem Protokoll sind per Trigger verboten.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Nummernvergabe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Fortlaufende Belegnummern je Firma und Erfassungsjahr (01-JJJJ-NNNN), kollisionssicher aus dem Nummernmuster abgeleitet.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Reproduzierbarkeit der Übergabe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DATEV-Stapel werden aus den festgeschriebenen Belegen deterministisch regeneriert; Exporte sind in datev_exporte mit Zeitraum, Anzahl und Summen protokolliert.</w:t>
            </w:r>
          </w:p>
        </w:tc>
      </w:tr>
    </w:tbl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  <w:r>
        <w:rPr>
          <w:rFonts w:ascii="Arial" w:cs="Arial" w:eastAsia="Arial" w:hAnsi="Arial"/>
          <w:color w:val="B5742A"/>
          <w:sz w:val="18"/>
          <w:szCs w:val="18"/>
        </w:rPr>
        <w:t xml:space="preserve">  +  </w:t>
      </w: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04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Technische Systemdokumentation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4.1 Komponenten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type="dxa" w:w="417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22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Betrieb</w:t>
            </w:r>
          </w:p>
        </w:tc>
      </w:tr>
      <w:tr>
        <w:tc>
          <w:tcPr>
            <w:tcW w:type="dxa" w:w="27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Threema Gateway (*BERENT1/2*)</w:t>
            </w:r>
          </w:p>
        </w:tc>
        <w:tc>
          <w:tcPr>
            <w:tcW w:type="dxa" w:w="4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E2E-verschlüsselter Belegeingang und Dialog</w:t>
            </w:r>
          </w:p>
        </w:tc>
        <w:tc>
          <w:tcPr>
            <w:tcW w:type="dxa" w:w="22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Threema GmbH (Schweiz)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n8n-Workflows</w:t>
            </w:r>
          </w:p>
        </w:tc>
        <w:tc>
          <w:tcPr>
            <w:tcW w:type="dxa" w:w="4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Orchestrierung: Empfang, Entschlüsselung, OCR, Kontierung, Speicherung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eigene Instanz (Hostinger VPS)</w:t>
            </w:r>
          </w:p>
        </w:tc>
      </w:tr>
      <w:tr>
        <w:tc>
          <w:tcPr>
            <w:tcW w:type="dxa" w:w="27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Supabase Edge Function threema-decrypt</w:t>
            </w:r>
          </w:p>
        </w:tc>
        <w:tc>
          <w:tcPr>
            <w:tcW w:type="dxa" w:w="4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Entschlüsselung, Integritätsprüfung, Archivierung, OCR-Anbindung, Hashing</w:t>
            </w:r>
          </w:p>
        </w:tc>
        <w:tc>
          <w:tcPr>
            <w:tcW w:type="dxa" w:w="22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Supabase (EU, eu-west-1)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Supabase Postgres + Storage</w:t>
            </w:r>
          </w:p>
        </w:tc>
        <w:tc>
          <w:tcPr>
            <w:tcW w:type="dxa" w:w="4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Beleg-/Auditdaten, Originale (Bucket belege-archiv, nicht öffentlich)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Supabase (EU, eu-west-1)</w:t>
            </w:r>
          </w:p>
        </w:tc>
      </w:tr>
      <w:tr>
        <w:tc>
          <w:tcPr>
            <w:tcW w:type="dxa" w:w="27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Mistral AI (OCR + Kontierung)</w:t>
            </w:r>
          </w:p>
        </w:tc>
        <w:tc>
          <w:tcPr>
            <w:tcW w:type="dxa" w:w="4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Texterkennung und SKR04-Vorschlag; Dateien werden nach Verarbeitung dort gelöscht</w:t>
            </w:r>
          </w:p>
        </w:tc>
        <w:tc>
          <w:tcPr>
            <w:tcW w:type="dxa" w:w="22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Mistral AI (EU)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Dashboard app.belegchat.de</w:t>
            </w:r>
          </w:p>
        </w:tc>
        <w:tc>
          <w:tcPr>
            <w:tcW w:type="dxa" w:w="4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Prüfung, Freigabe, DATEV-Export (Next.js)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Vercel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4.2 Zugriffsschutz und Authentifizierung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Dashboard: Passkey (WebAuthn) je Mandant; Registrierung nur mit Einmal-Code; Sitzungen als signierte, kurzlebige HttpOnly-Cookies.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Maschinenzugänge: getrennte, geheime Token je Kanal (Threema-Entschlüsselung, PDF-Webhook); Secrets liegen ausschließlich in Server-Umgebungen, nie im Code oder in Repositories.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b/>
          <w:bCs/>
          <w:color w:val="2A2018"/>
          <w:sz w:val="21"/>
          <w:szCs w:val="21"/>
        </w:rPr>
        <w:t xml:space="preserve">Kein Vollzugriffs-Schlüssel in der Anwendung: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das Dashboard nutzt eine dedizierte Datenbankrolle mit Minimalrechten (kein Anlegen/Löschen von Belegen, Änderungen nur an definierten Feldern) — Entscheidung ADR-05.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4.3 Mandantentrennung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A2018"/>
          <w:sz w:val="21"/>
          <w:szCs w:val="21"/>
        </w:rPr>
        <w:t xml:space="preserve">Die Trennung wird in der Datenbank erzwungen (Row Level Security): Jede Dashboard-Abfrage läuft in einer Transaktion mit gesetztem Mandanten-Kontext; ohne Kontext sind null Zeilen sichtbar. Getestet mit zwei Mandanten inklusive Kreuzzugriffs-Versuchen.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4.4 Änderungsmanagement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Sämtliche Software-Änderungen laufen über versionierte Git-Repositories mit Pull-Requests (GitHub: belegchat, threema-decrypt, n8n-workflows).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Datenbank-Änderungen ausschließlich über versionierte, im Repository abgelegte Migrationen.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Architektur-Entscheidungen sind als ADR-01 bis ADR-05 dokumentiert (Obsidian-Vault + GitHub).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  <w:r>
        <w:rPr>
          <w:rFonts w:ascii="Arial" w:cs="Arial" w:eastAsia="Arial" w:hAnsi="Arial"/>
          <w:color w:val="B5742A"/>
          <w:sz w:val="18"/>
          <w:szCs w:val="18"/>
        </w:rPr>
        <w:t xml:space="preserve">  +  </w:t>
      </w: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05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Internes Kontrollsystem und Betrieb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9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Kontrolle</w:t>
            </w:r>
          </w:p>
        </w:tc>
        <w:tc>
          <w:tcPr>
            <w:tcW w:type="dxa" w:w="617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Ausgestaltung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Vier-Augen-Logik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Automatische Erfassung (System) und manuelle Freigabe (Mandant) sind getrennt; erst die Freigabe schreibt fest.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Fehlerbehandlung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Jeder Verarbeitungsfehler erzeugt eine aktive Rückmeldung (Threema-Push bzw. Fehlerordner mit Protokolldatei); kein stilles Verwerfen.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Protokollprüfung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Audit-Trail ist je Beleg im Dashboard einsehbar; Vollständigkeit über Belegliste und Exporthistorie.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Datensicherung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Managed-Backups der Datenbank durch Supabase; Originale zusätzlich redundant in der iCloud-Belegablage des Betreibers.</w:t>
            </w:r>
          </w:p>
        </w:tc>
      </w:tr>
      <w:tr>
        <w:tc>
          <w:tcPr>
            <w:tcW w:type="dxa" w:w="29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Secret-Verwaltung</w:t>
            </w:r>
          </w:p>
        </w:tc>
        <w:tc>
          <w:tcPr>
            <w:tcW w:type="dxa" w:w="61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Inventar und Rotationsverfahren in SICHERHEIT.md; regelmäßige Prüfung (zuletzt 13.07.2026).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Aufbewahrung</w:t>
            </w:r>
          </w:p>
        </w:tc>
        <w:tc>
          <w:tcPr>
            <w:tcW w:type="dxa" w:w="6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Originale und Daten verbleiben unbegrenzt im System (kein Löschpfad für festgeschriebene Belege); gesetzliche Fristen (§ 147 AO) werden dadurch abgedeckt.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E8C98A"/>
          <w:sz w:val="24"/>
          <w:szCs w:val="24"/>
        </w:rPr>
        <w:t xml:space="preserve">+ </w:t>
      </w:r>
      <w:r>
        <w:rPr>
          <w:rFonts w:ascii="Arial" w:cs="Arial" w:eastAsia="Arial" w:hAnsi="Arial"/>
          <w:b/>
          <w:bCs/>
          <w:color w:val="B5742A"/>
          <w:sz w:val="24"/>
          <w:szCs w:val="24"/>
        </w:rPr>
        <w:t xml:space="preserve">5.1 Datenschutz (DSGVO)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Übertragung vom Mandanten Ende-zu-Ende verschlüsselt (Threema); Speicherung in EU-Regionen (Supabase eu-west-1).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OCR-Verarbeitung bei Mistral AI (EU); hochgeladene Dateien werden dort nach der Verarbeitung gelöscht.</w:t>
      </w:r>
    </w:p>
    <w:p>
      <w:pPr>
        <w:spacing w:after="80" w:before="0"/>
        <w:ind w:left="600" w:hanging="360"/>
      </w:pPr>
      <w:r>
        <w:rPr>
          <w:rFonts w:ascii="Arial" w:cs="Arial" w:eastAsia="Arial" w:hAnsi="Arial"/>
          <w:b/>
          <w:bCs/>
          <w:color w:val="E8C98A"/>
          <w:sz w:val="21"/>
          <w:szCs w:val="21"/>
        </w:rPr>
        <w:t xml:space="preserve">+ </w:t>
      </w:r>
      <w:r>
        <w:rPr>
          <w:rFonts w:ascii="Arial" w:cs="Arial" w:eastAsia="Arial" w:hAnsi="Arial"/>
          <w:color w:val="2A2018"/>
          <w:sz w:val="21"/>
          <w:szCs w:val="21"/>
        </w:rPr>
        <w:t xml:space="preserve">Keine personenbezogenen Daten in Logs oder Commits (Projektregel); Zugriff auf Belegdaten nur mandantengebunden.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  <w:r>
        <w:rPr>
          <w:rFonts w:ascii="Arial" w:cs="Arial" w:eastAsia="Arial" w:hAnsi="Arial"/>
          <w:color w:val="B5742A"/>
          <w:sz w:val="18"/>
          <w:szCs w:val="18"/>
        </w:rPr>
        <w:t xml:space="preserve">  +  </w:t>
      </w:r>
      <w:r>
        <w:rPr>
          <w:rFonts w:ascii="Arial" w:cs="Arial" w:eastAsia="Arial" w:hAnsi="Arial"/>
          <w:b/>
          <w:bCs/>
          <w:color w:val="E8C98A"/>
          <w:sz w:val="18"/>
          <w:szCs w:val="18"/>
        </w:rPr>
        <w:t xml:space="preserve">  +  </w:t>
      </w:r>
    </w:p>
    <w:p>
      <w:pPr>
        <w:pBdr>
          <w:bottom w:val="single" w:color="B5742A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06  </w:t>
      </w:r>
      <w:r>
        <w:rPr>
          <w:rFonts w:ascii="Arial" w:cs="Arial" w:eastAsia="Arial" w:hAnsi="Arial"/>
          <w:b/>
          <w:bCs/>
          <w:color w:val="B5742A"/>
          <w:sz w:val="34"/>
          <w:szCs w:val="34"/>
        </w:rPr>
        <w:t xml:space="preserve">Anlagen und mitgeltende Unterlagen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Dokument</w:t>
            </w:r>
          </w:p>
        </w:tc>
        <w:tc>
          <w:tcPr>
            <w:tcW w:type="dxa" w:w="5470"/>
            <w:shd w:fill="A56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docs/GOBD.md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GoBD-Detailumsetzung (Trigger, Hashes, RLS, Datenflüsse)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docs/PDF-IMPORT.md + SOP-PDF-Import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PDF-/Hot-Folder-Kanal inkl. Fehlercodes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docs/AUTH.md + SOP-Dashboard-Auth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Authentifizierung, Sessions, Zugriffsmodell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docs/DATEV.md + SOP-DATEV-Export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Exportformat, Buchungslogik, Monatsablauf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SOP-Threema-Belegeingang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Bedienung und Störungsbehebung Threema-Kanal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ADR-01 … ADR-05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Architektur-Entscheidungen inkl. Begründungen</w:t>
            </w:r>
          </w:p>
        </w:tc>
      </w:tr>
      <w:tr>
        <w:tc>
          <w:tcPr>
            <w:tcW w:type="dxa" w:w="360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SICHERHEIT.md</w:t>
            </w:r>
          </w:p>
        </w:tc>
        <w:tc>
          <w:tcPr>
            <w:tcW w:type="dxa" w:w="5470"/>
            <w:shd w:fill="F2EB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Secret-Inventar, Rotationsstatus, Härtungsmaßnahmen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docs/TESTPLAN.md</w:t>
            </w:r>
          </w:p>
        </w:tc>
        <w:tc>
          <w:tcPr>
            <w:tcW w:type="dxa" w:w="54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2018"/>
                <w:sz w:val="19"/>
                <w:szCs w:val="19"/>
              </w:rPr>
              <w:t xml:space="preserve">Testnachweise und Weg zum Echtbetrieb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B5742A" w:sz="16" w:space="10"/>
        </w:pBdr>
        <w:shd w:fill="FDF8F3" w:val="clear"/>
        <w:spacing w:after="160" w:before="100"/>
        <w:ind w:left="800"/>
      </w:pPr>
      <w:r>
        <w:rPr>
          <w:rFonts w:ascii="Arial" w:cs="Arial" w:eastAsia="Arial" w:hAnsi="Arial"/>
          <w:i/>
          <w:iCs/>
          <w:color w:val="7A6A58"/>
          <w:sz w:val="19"/>
          <w:szCs w:val="19"/>
        </w:rPr>
        <w:t xml:space="preserve">ℹ  Änderungshistorie: Version 1.0 (13.07.2026) — Ersterstellung, kompiliert aus der Projektdokumentation nach Abschluss der Post-Alpha-Phasen 1–4.</w:t>
      </w:r>
    </w:p>
    <w:sectPr>
      <w:footerReference w:type="default" r:id="rId7"/>
      <w:pgSz w:w="11906" w:h="16838" w:orient="portrait"/>
      <w:pgMar w:top="1701" w:right="1418" w:bottom="170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4B0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E8C98A"/>
        <w:sz w:val="16"/>
        <w:szCs w:val="16"/>
      </w:rPr>
      <w:t xml:space="preserve">+ </w:t>
    </w:r>
    <w:r>
      <w:rPr>
        <w:rFonts w:ascii="Arial" w:cs="Arial" w:eastAsia="Arial" w:hAnsi="Arial"/>
        <w:color w:val="7A6A58"/>
        <w:sz w:val="16"/>
        <w:szCs w:val="16"/>
      </w:rPr>
      <w:t xml:space="preserve">belegchat.de · Verfahrensdokumentation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A6A58"/>
        <w:sz w:val="16"/>
        <w:szCs w:val="16"/>
      </w:rPr>
      <w:t xml:space="preserve">BERENT.AI · Beratung und Entwicklung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018"/>
        <w:sz w:val="21"/>
        <w:szCs w:val="21"/>
      </w:rPr>
    </w:rPrDefault>
    <w:pPrDefault>
      <w:pPr>
        <w:spacing w:after="12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2026-07-13T20:10:28.061Z</dcterms:created>
  <dcterms:modified xsi:type="dcterms:W3CDTF">2026-07-13T20:10:28.062Z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