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B3A5C"/>
          <w:sz w:val="64"/>
          <w:szCs w:val="64"/>
        </w:rPr>
        <w:t xml:space="preserve">CLARK</w:t>
      </w:r>
    </w:p>
    <w:p>
      <w:pPr>
        <w:pBdr>
          <w:bottom w:val="single" w:color="2E6DA4" w:sz="12" w:space="4"/>
        </w:pBdr>
        <w:spacing w:before="0" w:after="80"/>
      </w:pPr>
      <w:r>
        <w:rPr>
          <w:rFonts w:ascii="Arial" w:cs="Arial" w:eastAsia="Arial" w:hAnsi="Arial"/>
          <w:color w:val="2E6DA4"/>
          <w:sz w:val="30"/>
          <w:szCs w:val="30"/>
        </w:rPr>
        <w:t xml:space="preserve">IPC Training Market Sizing — Hamilton Facility</w:t>
      </w:r>
    </w:p>
    <w:p>
      <w:pPr>
        <w:spacing w:before="60" w:after="0"/>
      </w:pPr>
      <w:r>
        <w:t xml:space="preserve"/>
      </w:r>
    </w:p>
    <w:p>
      <w:pPr>
        <w:spacing w:before="60" w:after="80"/>
      </w:pPr>
      <w:r>
        <w:rPr>
          <w:rFonts w:ascii="Arial" w:cs="Arial" w:eastAsia="Arial" w:hAnsi="Arial"/>
          <w:color w:val="888888"/>
          <w:sz w:val="22"/>
          <w:szCs w:val="22"/>
        </w:rPr>
        <w:t xml:space="preserve">Prepared for internal use. March 2025.</w:t>
      </w:r>
    </w:p>
    <w:p>
      <w:pPr>
        <w:spacing w:before="60" w:after="80"/>
      </w:pPr>
      <w:r>
        <w:rPr>
          <w:rFonts w:ascii="Arial" w:cs="Arial" w:eastAsia="Arial" w:hAnsi="Arial"/>
          <w:color w:val="555555"/>
          <w:sz w:val="22"/>
          <w:szCs w:val="22"/>
        </w:rPr>
        <w:t xml:space="preserve">This document sizes the reachable IPC training market for Clark's Hamilton facility. It establishes demand assumptions, pricing benchmarks, course economics, three-scenario revenue projections, and the facility fee model inherited from Clark's agreement with Niagara Assembly.</w:t>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1. IPC Certification Pricing Benchmarks</w:t>
      </w:r>
    </w:p>
    <w:p>
      <w:pPr>
        <w:spacing w:before="60" w:after="80"/>
      </w:pPr>
      <w:r>
        <w:rPr>
          <w:rFonts w:ascii="Arial" w:cs="Arial" w:eastAsia="Arial" w:hAnsi="Arial"/>
          <w:color w:val="333333"/>
          <w:sz w:val="22"/>
          <w:szCs w:val="22"/>
        </w:rPr>
        <w:t xml:space="preserve">The following pricing data is drawn from EPTAC (the market reference for Ontario), published IPC exam fee schedules effective January 2025–2026, and industry pricing surveys. All CAD figures use a USD/CAD rate of 1.38 (approximate current rate). Clark's own pricing will be positioned at or near EPTAC Markham rates to compete on geography and service, not price.</w:t>
      </w:r>
    </w:p>
    <w:p>
      <w:pPr>
        <w:spacing w:before="100" w:after="0"/>
      </w:pPr>
      <w:r>
        <w:t xml:space="preserve"/>
      </w:r>
    </w:p>
    <w:p>
      <w:pPr>
        <w:pStyle w:val="Heading2"/>
        <w:spacing w:before="260" w:after="80"/>
      </w:pPr>
      <w:r>
        <w:rPr>
          <w:rFonts w:ascii="Arial" w:cs="Arial" w:eastAsia="Arial" w:hAnsi="Arial"/>
          <w:b/>
          <w:bCs/>
          <w:color w:val="2E6DA4"/>
          <w:sz w:val="26"/>
          <w:szCs w:val="26"/>
        </w:rPr>
        <w:t xml:space="preserve">1.1 IPC Exam Fees (Pass-Through Cost to Clark)</w:t>
      </w:r>
    </w:p>
    <w:p>
      <w:pPr>
        <w:spacing w:before="60" w:after="80"/>
      </w:pPr>
      <w:r>
        <w:rPr>
          <w:rFonts w:ascii="Arial" w:cs="Arial" w:eastAsia="Arial" w:hAnsi="Arial"/>
          <w:color w:val="333333"/>
          <w:sz w:val="22"/>
          <w:szCs w:val="22"/>
        </w:rPr>
        <w:t xml:space="preserve">These are IPC-set fees paid to the certification body per student — Clark must pass these through as a direct cost regardless of the training format.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IPC-A-610 CIS Exam</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$120 (non-member) / USD $95 (IPC member) per student — online exam</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IPC-A-610 CIS Exam (print)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$155 (non-member) / USD $130 (IPC member) per student — printed exam</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CIT Exam Fees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Approximately 2–3x CIS exam rate, per IPC schedule</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CAD Equivalent (CIS, non-member)</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$166–$214 per student at current exchange</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Recertification Cycle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Every 2 years — mandatory for all CIS, CIT, and CSE holders</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Recertification Cost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60–70% of initial certification fee</w:t>
            </w:r>
          </w:p>
        </w:tc>
      </w:tr>
    </w:tbl>
    <w:p>
      <w:pPr>
        <w:spacing w:before="100" w:after="0"/>
      </w:pPr>
      <w:r>
        <w:t xml:space="preserve"/>
      </w:r>
    </w:p>
    <w:p>
      <w:pPr>
        <w:pStyle w:val="Heading2"/>
        <w:spacing w:before="260" w:after="80"/>
      </w:pPr>
      <w:r>
        <w:rPr>
          <w:rFonts w:ascii="Arial" w:cs="Arial" w:eastAsia="Arial" w:hAnsi="Arial"/>
          <w:b/>
          <w:bCs/>
          <w:color w:val="2E6DA4"/>
          <w:sz w:val="26"/>
          <w:szCs w:val="26"/>
        </w:rPr>
        <w:t xml:space="preserve">1.2 Market Training Rates (Full Course Incl. Instruction, Materials, Exam)</w:t>
      </w:r>
    </w:p>
    <w:p>
      <w:pPr>
        <w:spacing w:before="60" w:after="80"/>
      </w:pPr>
      <w:r>
        <w:rPr>
          <w:rFonts w:ascii="Arial" w:cs="Arial" w:eastAsia="Arial" w:hAnsi="Arial"/>
          <w:color w:val="333333"/>
          <w:sz w:val="22"/>
          <w:szCs w:val="22"/>
        </w:rPr>
        <w:t xml:space="preserve">These are what the market currently charges per student — what Clark will price against.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IPC-A-610 CIS — market rate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$700–$1,200 per student (CAD $966–$1,656)</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IPC-A-610 CIT — market rate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$1,800–$2,500 per student (CAD $2,484–$3,450)</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IPC-A-610 CSE — market rate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$1,800–$2,500 per student (CAD $2,484–$3,450)</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J-STD-001 CIS (Hand Soldering)</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$800–$1,300 per student (CAD $1,104–$1,794) — includes hands-on lab</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IPC/WHMA-A-620 CIS (Wire Harness)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$900–$1,400 per student (CAD $1,242–$1,932)</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Recertification (CIS)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$420–$840 (60–70% of initial) — CAD $580–$1,159</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Recertification (CIT)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USD $1,080–$1,750 — CAD $1,490–$2,415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Pricing Strategy</w:t>
            </w:r>
          </w:p>
          <w:p>
            <w:pPr>
              <w:spacing w:before="40"/>
            </w:pPr>
            <w:r>
              <w:rPr>
                <w:rFonts w:ascii="Arial" w:cs="Arial" w:eastAsia="Arial" w:hAnsi="Arial"/>
                <w:color w:val="444444"/>
                <w:sz w:val="20"/>
                <w:szCs w:val="20"/>
              </w:rPr>
              <w:t xml:space="preserve">Clark should price CIS courses at CAD $950–$1,250 and CIT courses at CAD $2,400–$3,000 — competitive with EPTAC Markham on a per-student basis while offering the geographic convenience of a Hamilton-area facility. The CAD pricing benefits from avoiding USD conversion friction for Ontario customers. Clark Courses (proprietary modules) should be priced at CAD $350–$650 per student per module, with a higher margin profile than IPC-licensed programs since there are no pass-through exam fees to IPC.</w:t>
            </w:r>
          </w:p>
        </w:tc>
      </w:tr>
    </w:tbl>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2. Demand Analysis — Hamilton Corridor</w:t>
      </w:r>
    </w:p>
    <w:p>
      <w:pPr>
        <w:spacing w:before="60" w:after="80"/>
      </w:pPr>
      <w:r>
        <w:rPr>
          <w:rFonts w:ascii="Arial" w:cs="Arial" w:eastAsia="Arial" w:hAnsi="Arial"/>
          <w:color w:val="333333"/>
          <w:sz w:val="22"/>
          <w:szCs w:val="22"/>
        </w:rPr>
        <w:t xml:space="preserve">This section builds a bottom-up estimate of IPC training demand from the reachable market within Clark's initial corridor. Two demand pools are identified: corporate/company-sponsored demand (employers paying for their workforce) and individual/institutional demand (students and near-graduation candidates).</w:t>
      </w:r>
    </w:p>
    <w:p>
      <w:pPr>
        <w:spacing w:before="100" w:after="0"/>
      </w:pPr>
      <w:r>
        <w:t xml:space="preserve"/>
      </w:r>
    </w:p>
    <w:p>
      <w:pPr>
        <w:pStyle w:val="Heading2"/>
        <w:spacing w:before="260" w:after="80"/>
      </w:pPr>
      <w:r>
        <w:rPr>
          <w:rFonts w:ascii="Arial" w:cs="Arial" w:eastAsia="Arial" w:hAnsi="Arial"/>
          <w:b/>
          <w:bCs/>
          <w:color w:val="2E6DA4"/>
          <w:sz w:val="26"/>
          <w:szCs w:val="26"/>
        </w:rPr>
        <w:t xml:space="preserve">2.1 Corporate Demand — Corridor Companies</w:t>
      </w:r>
    </w:p>
    <w:p>
      <w:pPr>
        <w:spacing w:before="60" w:after="80"/>
      </w:pPr>
      <w:r>
        <w:rPr>
          <w:rFonts w:ascii="Arial" w:cs="Arial" w:eastAsia="Arial" w:hAnsi="Arial"/>
          <w:color w:val="333333"/>
          <w:sz w:val="22"/>
          <w:szCs w:val="22"/>
        </w:rPr>
        <w:t xml:space="preserve">The following estimates are based on publicly available employee counts and IPC-relevant workforce ratios for the companies identified in Clark's Southern Ontario market research. An IPC-relevant worker is defined as any assembly technician, inspector, quality engineer, or process engineer whose work is directly governed by IPC standards.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Est. Staff</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IPC-Relevant %</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IPC Workers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New/Year (15%)</w:t>
            </w:r>
          </w:p>
        </w:tc>
        <w:tc>
          <w:tcPr>
            <w:tcW w:type="dxa" w:w="21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Recert/Year (50%)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Artaflex (multi-node)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~258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~103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~52</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MIS Electronics</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~25</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~4</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~13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ECI Technology Group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~13</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Permatech Electronics</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~35</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~18</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~3</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STIM Canada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~8</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Cygnus Electronics</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~40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~3</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Brantco Technologies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~4</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Circuits Central</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~25</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40%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~2</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b w:val="false"/>
                <w:bCs w:val="false"/>
                <w:color w:val="333333"/>
                <w:sz w:val="18"/>
                <w:szCs w:val="18"/>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Smaller corridor shops (est. 5–10 shops)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333333"/>
                <w:sz w:val="18"/>
                <w:szCs w:val="18"/>
              </w:rPr>
              <w:t xml:space="preserve">~27</w:t>
            </w:r>
          </w:p>
        </w:tc>
      </w:tr>
      <w:tr>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80"/>
            </w:tcMar>
          </w:tcPr>
          <w:p>
            <w:r>
              <w:rPr>
                <w:rFonts w:ascii="Arial" w:cs="Arial" w:eastAsia="Arial" w:hAnsi="Arial"/>
                <w:b/>
                <w:bCs/>
                <w:color w:val="1B3A5C"/>
                <w:sz w:val="18"/>
                <w:szCs w:val="18"/>
              </w:rPr>
              <w:t xml:space="preserve">Total — Identified Corridor</w:t>
            </w:r>
          </w:p>
        </w:tc>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80"/>
            </w:tcMar>
          </w:tcPr>
          <w:p>
            <w:r>
              <w:rPr>
                <w:rFonts w:ascii="Arial" w:cs="Arial" w:eastAsia="Arial" w:hAnsi="Arial"/>
                <w:b/>
                <w:bCs/>
                <w:color w:val="1B3A5C"/>
                <w:sz w:val="18"/>
                <w:szCs w:val="18"/>
              </w:rPr>
              <w:t xml:space="preserve">~658</w:t>
            </w:r>
          </w:p>
        </w:tc>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80"/>
            </w:tcMar>
          </w:tcPr>
          <w:p>
            <w:r>
              <w:rPr>
                <w:rFonts w:ascii="Arial" w:cs="Arial" w:eastAsia="Arial" w:hAnsi="Arial"/>
                <w:b/>
                <w:bCs/>
                <w:color w:val="1B3A5C"/>
                <w:sz w:val="18"/>
                <w:szCs w:val="18"/>
              </w:rPr>
              <w:t xml:space="preserve">44% avg</w:t>
            </w:r>
          </w:p>
        </w:tc>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80"/>
            </w:tcMar>
          </w:tcPr>
          <w:p>
            <w:r>
              <w:rPr>
                <w:rFonts w:ascii="Arial" w:cs="Arial" w:eastAsia="Arial" w:hAnsi="Arial"/>
                <w:b/>
                <w:bCs/>
                <w:color w:val="1B3A5C"/>
                <w:sz w:val="18"/>
                <w:szCs w:val="18"/>
              </w:rPr>
              <w:t xml:space="preserve">~277</w:t>
            </w:r>
          </w:p>
        </w:tc>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80"/>
            </w:tcMar>
          </w:tcPr>
          <w:p>
            <w:r>
              <w:rPr>
                <w:rFonts w:ascii="Arial" w:cs="Arial" w:eastAsia="Arial" w:hAnsi="Arial"/>
                <w:b/>
                <w:bCs/>
                <w:color w:val="1B3A5C"/>
                <w:sz w:val="18"/>
                <w:szCs w:val="18"/>
              </w:rPr>
              <w:t xml:space="preserve">~42</w:t>
            </w:r>
          </w:p>
        </w:tc>
        <w:tc>
          <w:tcPr>
            <w:tcW w:type="dxa" w:w="2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80"/>
            </w:tcMar>
          </w:tcPr>
          <w:p>
            <w:r>
              <w:rPr>
                <w:rFonts w:ascii="Arial" w:cs="Arial" w:eastAsia="Arial" w:hAnsi="Arial"/>
                <w:b/>
                <w:bCs/>
                <w:color w:val="1B3A5C"/>
                <w:sz w:val="18"/>
                <w:szCs w:val="18"/>
              </w:rPr>
              <w:t xml:space="preserve">~141</w:t>
            </w:r>
          </w:p>
        </w:tc>
      </w:tr>
    </w:tbl>
    <w:p>
      <w:pPr>
        <w:spacing w:before="80" w:after="0"/>
      </w:pPr>
      <w:r>
        <w:t xml:space="preserve"/>
      </w:r>
    </w:p>
    <w:p>
      <w:pPr>
        <w:spacing w:before="60" w:after="80"/>
      </w:pPr>
      <w:r>
        <w:rPr>
          <w:rFonts w:ascii="Arial" w:cs="Arial" w:eastAsia="Arial" w:hAnsi="Arial"/>
          <w:color w:val="555555"/>
          <w:sz w:val="22"/>
          <w:szCs w:val="22"/>
        </w:rPr>
        <w:t xml:space="preserve">The corridor corporate market generates an estimated 42 new certifications and 141 recertifications per year — approximately 183 training events annually. At an average class size of 8 students, this represents roughly 23 class-equivalents per year from the corridor companies alone.</w:t>
      </w:r>
    </w:p>
    <w:p>
      <w:pPr>
        <w:spacing w:before="100" w:after="0"/>
      </w:pPr>
      <w:r>
        <w:t xml:space="preserve"/>
      </w:r>
    </w:p>
    <w:p>
      <w:pPr>
        <w:pStyle w:val="Heading2"/>
        <w:spacing w:before="260" w:after="80"/>
      </w:pPr>
      <w:r>
        <w:rPr>
          <w:rFonts w:ascii="Arial" w:cs="Arial" w:eastAsia="Arial" w:hAnsi="Arial"/>
          <w:b/>
          <w:bCs/>
          <w:color w:val="2E6DA4"/>
          <w:sz w:val="26"/>
          <w:szCs w:val="26"/>
        </w:rPr>
        <w:t xml:space="preserve">2.2 Individual and Institutional Demand</w:t>
      </w:r>
    </w:p>
    <w:p>
      <w:pPr>
        <w:spacing w:before="60" w:after="80"/>
      </w:pPr>
      <w:r>
        <w:rPr>
          <w:rFonts w:ascii="Arial" w:cs="Arial" w:eastAsia="Arial" w:hAnsi="Arial"/>
          <w:color w:val="333333"/>
          <w:sz w:val="22"/>
          <w:szCs w:val="22"/>
        </w:rPr>
        <w:t xml:space="preserve">The business plan identifies two individual-market segments for Year 1: regional company employees needing upskilling, and university and college students seeking practical credentials before graduation. This segment is harder to size but meaningful given Hamilton's post-secondary ecosystem.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McMaster University</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~10,000 undergraduate engineering students. Faculty of Engineering offers electrical and mechanical programs directly relevant to IPC skills. McMaster has an active industry liaison office.</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Mohawk College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~12,000 full-time students. Offers Electronics Engineering Technology and related programs. Has historically partnered with industry for applied training. Immediate target for IPC pathway referral.</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Niagara College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Offers Electronics and Automation programs. ~1,500 relevant program enrolments. St. Catharines and Welland campuses accessible to Hamilton corridor.</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Reachable student pool (conservative)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50–150 near-graduation students per year seeking practical electronics credentials beyond academic theory</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Individual upskilling demand</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Electronics workers changing employers or seeking career advancement. Estimated 30–80 individuals per year in the corridor actively seeking IPC credentials outside of employer programs.</w:t>
            </w:r>
          </w:p>
        </w:tc>
      </w:tr>
    </w:tbl>
    <w:p>
      <w:pPr>
        <w:spacing w:before="100" w:after="0"/>
      </w:pPr>
      <w:r>
        <w:t xml:space="preserve"/>
      </w:r>
    </w:p>
    <w:p>
      <w:pPr>
        <w:pStyle w:val="Heading2"/>
        <w:spacing w:before="260" w:after="80"/>
      </w:pPr>
      <w:r>
        <w:rPr>
          <w:rFonts w:ascii="Arial" w:cs="Arial" w:eastAsia="Arial" w:hAnsi="Arial"/>
          <w:b/>
          <w:bCs/>
          <w:color w:val="2E6DA4"/>
          <w:sz w:val="26"/>
          <w:szCs w:val="26"/>
        </w:rPr>
        <w:t xml:space="preserve">2.3 Total Reachable Annual Training Demand — Year 1 SOM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1B3A5C"/>
                <w:sz w:val="21"/>
                <w:szCs w:val="21"/>
              </w:rPr>
              <w:t xml:space="preserve">Corporate corridor — new certifications/year</w:t>
            </w:r>
          </w:p>
        </w:tc>
        <w:tc>
          <w:tcPr>
            <w:tcW w:type="dxa" w:w="4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2E6DA4"/>
                <w:sz w:val="21"/>
                <w:szCs w:val="21"/>
              </w:rPr>
              <w:t xml:space="preserve">~42 students</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1B3A5C"/>
                <w:sz w:val="21"/>
                <w:szCs w:val="21"/>
              </w:rPr>
              <w:t xml:space="preserve">Corporate corridor — recertifications/year</w:t>
            </w:r>
          </w:p>
        </w:tc>
        <w:tc>
          <w:tcPr>
            <w:tcW w:type="dxa" w:w="4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2E6DA4"/>
                <w:sz w:val="21"/>
                <w:szCs w:val="21"/>
              </w:rPr>
              <w:t xml:space="preserve">~141 students</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80"/>
            </w:tcMar>
          </w:tcPr>
          <w:p>
            <w:r>
              <w:rPr>
                <w:rFonts w:ascii="Arial" w:cs="Arial" w:eastAsia="Arial" w:hAnsi="Arial"/>
                <w:b/>
                <w:bCs/>
                <w:color w:val="1B3A5C"/>
                <w:sz w:val="21"/>
                <w:szCs w:val="21"/>
              </w:rPr>
              <w:t xml:space="preserve">Individual / institutional market — Year 1 conservative</w:t>
            </w:r>
          </w:p>
        </w:tc>
        <w:tc>
          <w:tcPr>
            <w:tcW w:type="dxa" w:w="43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80"/>
            </w:tcMar>
          </w:tcPr>
          <w:p>
            <w:r>
              <w:rPr>
                <w:rFonts w:ascii="Arial" w:cs="Arial" w:eastAsia="Arial" w:hAnsi="Arial"/>
                <w:b/>
                <w:bCs/>
                <w:color w:val="2E6DA4"/>
                <w:sz w:val="21"/>
                <w:szCs w:val="21"/>
              </w:rPr>
              <w:t xml:space="preserve">~50–80 students</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1B3A5C"/>
                <w:sz w:val="21"/>
                <w:szCs w:val="21"/>
              </w:rPr>
              <w:t xml:space="preserve">Total reachable Year 1 demand (conservative)</w:t>
            </w:r>
          </w:p>
        </w:tc>
        <w:tc>
          <w:tcPr>
            <w:tcW w:type="dxa" w:w="4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2E6DA4"/>
                <w:sz w:val="21"/>
                <w:szCs w:val="21"/>
              </w:rPr>
              <w:t xml:space="preserve">~233–263 student-events/year</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C3D9F0" w:val="clear"/>
            <w:tcMar>
              <w:top w:type="dxa" w:w="100"/>
              <w:left w:type="dxa" w:w="160"/>
              <w:bottom w:type="dxa" w:w="100"/>
              <w:right w:type="dxa" w:w="80"/>
            </w:tcMar>
          </w:tcPr>
          <w:p>
            <w:r>
              <w:rPr>
                <w:rFonts w:ascii="Arial" w:cs="Arial" w:eastAsia="Arial" w:hAnsi="Arial"/>
                <w:b/>
                <w:bCs/>
                <w:color w:val="1B3A5C"/>
                <w:sz w:val="21"/>
                <w:szCs w:val="21"/>
              </w:rPr>
              <w:t xml:space="preserve">Total reachable Year 1 demand (base case)</w:t>
            </w:r>
          </w:p>
        </w:tc>
        <w:tc>
          <w:tcPr>
            <w:tcW w:type="dxa" w:w="4360"/>
            <w:tcBorders>
              <w:top w:val="single" w:color="CCCCCC" w:sz="1"/>
              <w:left w:val="single" w:color="CCCCCC" w:sz="1"/>
              <w:bottom w:val="single" w:color="CCCCCC" w:sz="1"/>
              <w:right w:val="single" w:color="CCCCCC" w:sz="1"/>
            </w:tcBorders>
            <w:shd w:fill="C3D9F0" w:val="clear"/>
            <w:tcMar>
              <w:top w:type="dxa" w:w="100"/>
              <w:left w:type="dxa" w:w="160"/>
              <w:bottom w:type="dxa" w:w="100"/>
              <w:right w:type="dxa" w:w="80"/>
            </w:tcMar>
          </w:tcPr>
          <w:p>
            <w:r>
              <w:rPr>
                <w:rFonts w:ascii="Arial" w:cs="Arial" w:eastAsia="Arial" w:hAnsi="Arial"/>
                <w:b/>
                <w:bCs/>
                <w:color w:val="2E6DA4"/>
                <w:sz w:val="21"/>
                <w:szCs w:val="21"/>
              </w:rPr>
              <w:t xml:space="preserve">~280–320 student-events/year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20"/>
              <w:bottom w:val="single" w:color="CCCCCC" w:sz="2"/>
              <w:right w:val="single" w:color="CCCCCC" w:sz="2"/>
            </w:tcBorders>
            <w:shd w:fill="FFF3CD" w:val="clear"/>
            <w:tcMar>
              <w:top w:type="dxa" w:w="120"/>
              <w:left w:type="dxa" w:w="200"/>
              <w:bottom w:type="dxa" w:w="120"/>
              <w:right w:type="dxa" w:w="200"/>
            </w:tcMar>
          </w:tcPr>
          <w:p>
            <w:r>
              <w:rPr>
                <w:rFonts w:ascii="Arial" w:cs="Arial" w:eastAsia="Arial" w:hAnsi="Arial"/>
                <w:b/>
                <w:bCs/>
                <w:color w:val="C8860A"/>
                <w:sz w:val="20"/>
                <w:szCs w:val="20"/>
              </w:rPr>
              <w:t xml:space="preserve">Key Constraint: Class Throughput</w:t>
            </w:r>
          </w:p>
          <w:p>
            <w:pPr>
              <w:spacing w:before="40"/>
            </w:pPr>
            <w:r>
              <w:rPr>
                <w:rFonts w:ascii="Arial" w:cs="Arial" w:eastAsia="Arial" w:hAnsi="Arial"/>
                <w:color w:val="444444"/>
                <w:sz w:val="20"/>
                <w:szCs w:val="20"/>
              </w:rPr>
              <w:t xml:space="preserve">Clark's Hamilton facility will be physically constrained in Year 1. Assuming one training room supporting 8–10 students per class and a maximum of 2 classes per week, the facility can deliver roughly 80–104 class sessions per year. At 8 students per session, maximum throughput is ~640–832 student-events annually. Year 1 demand is well within physical capacity. The binding constraint is instructor availability and marketing reach, not room throughput.</w:t>
            </w:r>
          </w:p>
        </w:tc>
      </w:tr>
    </w:tbl>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3. Per-Course Economics</w:t>
      </w:r>
    </w:p>
    <w:p>
      <w:pPr>
        <w:spacing w:before="60" w:after="80"/>
      </w:pPr>
      <w:r>
        <w:rPr>
          <w:rFonts w:ascii="Arial" w:cs="Arial" w:eastAsia="Arial" w:hAnsi="Arial"/>
          <w:color w:val="333333"/>
          <w:sz w:val="22"/>
          <w:szCs w:val="22"/>
        </w:rPr>
        <w:t xml:space="preserve">The following models represent Clark's estimated economics on a per-class basis for each course type in the launch bundle. All figures are in CAD. Direct instructional costs are defined per the business plan as: instructor compensation, instructor travel and lodging where required, course-specific consumables and materials, and IPC exam fees tied directly to the class.</w:t>
      </w:r>
    </w:p>
    <w:p>
      <w:pPr>
        <w:spacing w:before="100" w:after="0"/>
      </w:pPr>
      <w:r>
        <w:t xml:space="preserve"/>
      </w:r>
    </w:p>
    <w:p>
      <w:pPr>
        <w:pStyle w:val="Heading2"/>
        <w:spacing w:before="260" w:after="80"/>
      </w:pPr>
      <w:r>
        <w:rPr>
          <w:rFonts w:ascii="Arial" w:cs="Arial" w:eastAsia="Arial" w:hAnsi="Arial"/>
          <w:b/>
          <w:bCs/>
          <w:color w:val="2E6DA4"/>
          <w:sz w:val="26"/>
          <w:szCs w:val="26"/>
        </w:rPr>
        <w:t xml:space="preserve">3.1 IPC-A-610 CIS (Specialist) — Core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Item</w:t>
            </w:r>
          </w:p>
        </w:tc>
        <w:tc>
          <w:tcPr>
            <w:tcW w:type="dxa" w:w="1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Per Student (CAD)</w:t>
            </w:r>
          </w:p>
        </w:tc>
        <w:tc>
          <w:tcPr>
            <w:tcW w:type="dxa" w:w="1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Class of 8 (CAD)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Student tuition (Clark rate)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$1,150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$9,200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Priced below EPTAC market ceiling</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IPC exam fee (pass-through)</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−$210</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−$1,680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USD $155 printed exam at 1.38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Instructor fee (3 days × $1,600/day ÷ 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−$600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−$4,800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Contract instructor daily rate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Course materials and consumables</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−$75</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−$600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Boards, solder samples, reference prints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Contribution margin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$265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$2,120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~23% margin at this pricing</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Contribution margin (10 students)</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$265</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$3,250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Same cost base, 2 extra students — margin expands to 30%</w:t>
            </w:r>
          </w:p>
        </w:tc>
      </w:tr>
    </w:tbl>
    <w:p>
      <w:pPr>
        <w:spacing w:before="80" w:after="0"/>
      </w:pPr>
      <w:r>
        <w:t xml:space="preserve"/>
      </w:r>
    </w:p>
    <w:p>
      <w:pPr>
        <w:pStyle w:val="Heading2"/>
        <w:spacing w:before="260" w:after="80"/>
      </w:pPr>
      <w:r>
        <w:rPr>
          <w:rFonts w:ascii="Arial" w:cs="Arial" w:eastAsia="Arial" w:hAnsi="Arial"/>
          <w:b/>
          <w:bCs/>
          <w:color w:val="2E6DA4"/>
          <w:sz w:val="26"/>
          <w:szCs w:val="26"/>
        </w:rPr>
        <w:t xml:space="preserve">3.2 IPC-A-610 CIT (Instructor) — CIT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Item</w:t>
            </w:r>
          </w:p>
        </w:tc>
        <w:tc>
          <w:tcPr>
            <w:tcW w:type="dxa" w:w="1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Per Student (CAD)</w:t>
            </w:r>
          </w:p>
        </w:tc>
        <w:tc>
          <w:tcPr>
            <w:tcW w:type="dxa" w:w="1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Class of 6 (CAD)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Student tuition (Clark rate)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$2,700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$16,200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CIT commands premium — market is $2,484–$3,450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IPC CIT exam fees (est.)</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−$430</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−$2,580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~2.5× CIS exam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Instructor fee (4 days × $2,000/day ÷ 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−$1,333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−$8,000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Senior CIT instructor required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Materials and consumables</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−$120</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−$720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Higher material intensity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Contribution margin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$817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$4,900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~30% margin</w:t>
            </w:r>
          </w:p>
        </w:tc>
      </w:tr>
    </w:tbl>
    <w:p>
      <w:pPr>
        <w:spacing w:before="80" w:after="0"/>
      </w:pPr>
      <w:r>
        <w:t xml:space="preserve"/>
      </w:r>
    </w:p>
    <w:p>
      <w:pPr>
        <w:pStyle w:val="Heading2"/>
        <w:spacing w:before="260" w:after="80"/>
      </w:pPr>
      <w:r>
        <w:rPr>
          <w:rFonts w:ascii="Arial" w:cs="Arial" w:eastAsia="Arial" w:hAnsi="Arial"/>
          <w:b/>
          <w:bCs/>
          <w:color w:val="2E6DA4"/>
          <w:sz w:val="26"/>
          <w:szCs w:val="26"/>
        </w:rPr>
        <w:t xml:space="preserve">3.3 J-STD-001 Hand Soldering CIS — Practical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Item</w:t>
            </w:r>
          </w:p>
        </w:tc>
        <w:tc>
          <w:tcPr>
            <w:tcW w:type="dxa" w:w="1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Per Student (CAD)</w:t>
            </w:r>
          </w:p>
        </w:tc>
        <w:tc>
          <w:tcPr>
            <w:tcW w:type="dxa" w:w="1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Class of 8 (CAD)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Student tuition (Clark rate)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$1,300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$10,400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Includes hands-on lab component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IPC J-STD exam fees (est.)</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−$210</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−$1,680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Similar to A-610 CIS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Instructor fee (3 days × $1,800/day ÷ 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−$675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−$5,400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Hands-on requires skilled soldering instructor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Consumables (solder, boards, tools)</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−$150</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−$1,200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Higher consumable intensity than lecture-based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Contribution margin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$265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$2,120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~20% — lower margin but high demand anchor</w:t>
            </w:r>
          </w:p>
        </w:tc>
      </w:tr>
    </w:tbl>
    <w:p>
      <w:pPr>
        <w:spacing w:before="80" w:after="0"/>
      </w:pPr>
      <w:r>
        <w:t xml:space="preserve"/>
      </w:r>
    </w:p>
    <w:p>
      <w:pPr>
        <w:pStyle w:val="Heading2"/>
        <w:spacing w:before="260" w:after="80"/>
      </w:pPr>
      <w:r>
        <w:rPr>
          <w:rFonts w:ascii="Arial" w:cs="Arial" w:eastAsia="Arial" w:hAnsi="Arial"/>
          <w:b/>
          <w:bCs/>
          <w:color w:val="2E6DA4"/>
          <w:sz w:val="26"/>
          <w:szCs w:val="26"/>
        </w:rPr>
        <w:t xml:space="preserve">3.4 Clark Courses (Proprietary Modules) — Highest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Item</w:t>
            </w:r>
          </w:p>
        </w:tc>
        <w:tc>
          <w:tcPr>
            <w:tcW w:type="dxa" w:w="1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Per Student (CAD)</w:t>
            </w:r>
          </w:p>
        </w:tc>
        <w:tc>
          <w:tcPr>
            <w:tcW w:type="dxa" w:w="1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Class of 8 (CAD)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Student tuition (Clark rate)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$550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$4,400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2-day proprietary module, no IPC pass-through</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IPC exam fees</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$0</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No IPC certification — Clark Certified credential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Instructor fee (2 days × $1,400/day ÷ 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−$350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−$2,800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Lower daily rate for Clark Course instructors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Materials and curriculum amortization</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−$50</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−$400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Lower ongoing cost once curriculum is 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Contribution margin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$150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$1,200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8"/>
                <w:szCs w:val="18"/>
              </w:rPr>
              <w:t xml:space="preserve">~27% — improves as curriculum cost amortizes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Blended (Clark Course + IPC prep bundle)</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w:t>
            </w:r>
          </w:p>
        </w:tc>
        <w:tc>
          <w:tcPr>
            <w:tcW w:type="dxa" w:w="1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$8,000–$12,000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80"/>
            </w:tcMar>
          </w:tcPr>
          <w:p>
            <w:r>
              <w:rPr>
                <w:rFonts w:ascii="Arial" w:cs="Arial" w:eastAsia="Arial" w:hAnsi="Arial"/>
                <w:b w:val="false"/>
                <w:bCs w:val="false"/>
                <w:color w:val="333333"/>
                <w:sz w:val="18"/>
                <w:szCs w:val="18"/>
              </w:rPr>
              <w:t xml:space="preserve">Multi-module bundles generate better economics</w:t>
            </w:r>
          </w:p>
        </w:tc>
      </w:tr>
    </w:tbl>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4. Revenue Projections — Three Scenarios</w:t>
      </w:r>
    </w:p>
    <w:p>
      <w:pPr>
        <w:spacing w:before="60" w:after="80"/>
      </w:pPr>
      <w:r>
        <w:rPr>
          <w:rFonts w:ascii="Arial" w:cs="Arial" w:eastAsia="Arial" w:hAnsi="Arial"/>
          <w:color w:val="333333"/>
          <w:sz w:val="22"/>
          <w:szCs w:val="22"/>
        </w:rPr>
        <w:t xml:space="preserve">Three scenarios are modeled: Conservative (1–2 courses/month), Base (2–3 courses/month), and Optimistic (4–5 courses/month). Year 1 assumptions reflect a ramp period with lower course density in months 1–4, stabilizing by month 6. Year 2 assumes increased CIT and Clark Course mix.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Assumption Note</w:t>
            </w:r>
          </w:p>
          <w:p>
            <w:pPr>
              <w:spacing w:before="40"/>
            </w:pPr>
            <w:r>
              <w:rPr>
                <w:rFonts w:ascii="Arial" w:cs="Arial" w:eastAsia="Arial" w:hAnsi="Arial"/>
                <w:color w:val="444444"/>
                <w:sz w:val="20"/>
                <w:szCs w:val="20"/>
              </w:rPr>
              <w:t xml:space="preserve">Revenue per student averages CAD $1,100–$1,300 for the IPC course mix and CAD $400–$600 for Clark Courses. For projection purposes we use a blended rate of CAD $1,100 (conservative), $1,200 (base), and $1,350 (optimistic) reflecting mix shift toward higher-margin CIT and multi-module bundles over time. Average class size of 8 students throughout Year 1 rising to 9 in Year 2 as the facility establishes reputation.</w:t>
            </w:r>
          </w:p>
        </w:tc>
      </w:tr>
    </w:tbl>
    <w:p>
      <w:pPr>
        <w:spacing w:before="80" w:after="0"/>
      </w:pPr>
      <w:r>
        <w:t xml:space="preserve"/>
      </w:r>
    </w:p>
    <w:p>
      <w:pPr>
        <w:pStyle w:val="Heading2"/>
        <w:spacing w:before="260" w:after="80"/>
      </w:pPr>
      <w:r>
        <w:rPr>
          <w:rFonts w:ascii="Arial" w:cs="Arial" w:eastAsia="Arial" w:hAnsi="Arial"/>
          <w:b/>
          <w:bCs/>
          <w:color w:val="2E6DA4"/>
          <w:sz w:val="26"/>
          <w:szCs w:val="26"/>
        </w:rPr>
        <w:t xml:space="preserve">4.1 Year 1 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218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Conservative</w:t>
            </w:r>
          </w:p>
        </w:tc>
        <w:tc>
          <w:tcPr>
            <w:tcW w:type="dxa" w:w="218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Base</w:t>
            </w:r>
          </w:p>
        </w:tc>
        <w:tc>
          <w:tcPr>
            <w:tcW w:type="dxa" w:w="218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Optimistic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Courses delivered (Year 1)</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14</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22</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34</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Average students per class</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8</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8</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Total student-events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112</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176</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306</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Blended revenue per student</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$1,100</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$1,200</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$1,350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Gross training revenue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$123,200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$211,200</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$413,100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Direct instructional costs (~55%)</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$67,760</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$116,160</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$227,205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Contribution after direct costs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$55,440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$95,040</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$185,895</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Contribution margin</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45%</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45%</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Niagara Assembly facility fee (fixed)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$8,750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$23,000</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$33,000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Niagara Assembly rev-share (10–12%)</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$5,544</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$9,504</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$14,872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Net Clark contribution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$41,146</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$62,536</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$138,023</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Monthly course run rate (avg)</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1.2</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1.8</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2.8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Facility fee band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1–2 courses/mo</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2–3 courses/mo</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4–5 courses/mo</w:t>
            </w:r>
          </w:p>
        </w:tc>
      </w:tr>
    </w:tbl>
    <w:p>
      <w:pPr>
        <w:spacing w:before="80" w:after="0"/>
      </w:pPr>
      <w:r>
        <w:t xml:space="preserve"/>
      </w:r>
    </w:p>
    <w:p>
      <w:pPr>
        <w:pStyle w:val="Heading2"/>
        <w:spacing w:before="260" w:after="80"/>
      </w:pPr>
      <w:r>
        <w:rPr>
          <w:rFonts w:ascii="Arial" w:cs="Arial" w:eastAsia="Arial" w:hAnsi="Arial"/>
          <w:b/>
          <w:bCs/>
          <w:color w:val="2E6DA4"/>
          <w:sz w:val="26"/>
          <w:szCs w:val="26"/>
        </w:rPr>
        <w:t xml:space="preserve">4.2 Year 2 Revenue Scenarios (with CIT and Clark Courses)</w:t>
      </w:r>
    </w:p>
    <w:p>
      <w:pPr>
        <w:spacing w:before="60" w:after="80"/>
      </w:pPr>
      <w:r>
        <w:rPr>
          <w:rFonts w:ascii="Arial" w:cs="Arial" w:eastAsia="Arial" w:hAnsi="Arial"/>
          <w:color w:val="333333"/>
          <w:sz w:val="22"/>
          <w:szCs w:val="22"/>
        </w:rPr>
        <w:t xml:space="preserve">Year 2 introduces a meaningful CIT cohort (2–4 CIT classes per year) and Clark Course modules alongside IPC certifications. Mix shift drives blended revenue per student upward.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218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Conservative</w:t>
            </w:r>
          </w:p>
        </w:tc>
        <w:tc>
          <w:tcPr>
            <w:tcW w:type="dxa" w:w="218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Base</w:t>
            </w:r>
          </w:p>
        </w:tc>
        <w:tc>
          <w:tcPr>
            <w:tcW w:type="dxa" w:w="218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Optimistic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IPC courses (CIS/CSE/J-STD)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18</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28</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40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CIT courses</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2</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4</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Clark Course modules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4</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8</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14</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Total courses/modules</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24</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40</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Total student-events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190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330</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540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Blended revenue per student</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$1,150</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$1,300</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Gross training revenue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$218,500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$429,000</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$810,000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Direct costs (~52%)</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$113,620</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$223,080</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$421,200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Contribution after direct costs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$104,880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$205,920</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$388,800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Niagara Assembly facility fee</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$27,500</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$40,000</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$48,000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Niagara Assembly rev-share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$10,488</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$20,592</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CAD $31,104</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Net Clark contribution</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$66,892</w:t>
            </w:r>
          </w:p>
        </w:tc>
        <w:tc>
          <w:tcPr>
            <w:tcW w:type="dxa" w:w="2187"/>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$145,328</w:t>
            </w:r>
          </w:p>
        </w:tc>
        <w:tc>
          <w:tcPr>
            <w:tcW w:type="dxa" w:w="218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val="false"/>
                <w:bCs w:val="false"/>
                <w:color w:val="333333"/>
                <w:sz w:val="19"/>
                <w:szCs w:val="19"/>
              </w:rPr>
              <w:t xml:space="preserve">CAD $309,696</w:t>
            </w:r>
          </w:p>
        </w:tc>
      </w:tr>
    </w:tbl>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5. Niagara Assembly Facility Fee Model</w:t>
      </w:r>
    </w:p>
    <w:p>
      <w:pPr>
        <w:spacing w:before="60" w:after="80"/>
      </w:pPr>
      <w:r>
        <w:rPr>
          <w:rFonts w:ascii="Arial" w:cs="Arial" w:eastAsia="Arial" w:hAnsi="Arial"/>
          <w:color w:val="333333"/>
          <w:sz w:val="22"/>
          <w:szCs w:val="22"/>
        </w:rPr>
        <w:t xml:space="preserve">The Hamilton training facility is hosted within the Niagara Assembly footprint. The following fee structure is as defined in the Clark business plan. These are direct costs to Clark paid to Niagara Assembly, and are excluded from the direct instructional cost calculation.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1–2 courses/month</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$1,250 fixed monthly fee + 12% of contribution margin after direct instructional costs</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3–4 courses/month</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$2,500 fixed monthly fee + 10% of contribution margin after direct instructional costs</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5+ courses/month</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$4,000 fixed monthly fee + 8% of contribution margin after direct instructional costs</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Scope of facility fee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Covers space, equipment access, and site overhead. Does not include instructor liability (Clark bears), trainee injury or equipment damage (Niagara Assembly bears), or facility safety and site procedures (Niagara Assembly owns).</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Contribution margin base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Contribution margin after direct instructional costs only. Broader Clark overhead is excluded from the calculation.</w:t>
            </w:r>
          </w:p>
        </w:tc>
      </w:tr>
    </w:tbl>
    <w:p>
      <w:pPr>
        <w:spacing w:before="80" w:after="0"/>
      </w:pPr>
      <w:r>
        <w:t xml:space="preserve"/>
      </w:r>
    </w:p>
    <w:p>
      <w:pPr>
        <w:pStyle w:val="Heading2"/>
        <w:spacing w:before="260" w:after="80"/>
      </w:pPr>
      <w:r>
        <w:rPr>
          <w:rFonts w:ascii="Arial" w:cs="Arial" w:eastAsia="Arial" w:hAnsi="Arial"/>
          <w:b/>
          <w:bCs/>
          <w:color w:val="2E6DA4"/>
          <w:sz w:val="26"/>
          <w:szCs w:val="26"/>
        </w:rPr>
        <w:t xml:space="preserve">5.1 Facility Fee Worked Examples</w:t>
      </w:r>
    </w:p>
    <w:p>
      <w:pPr>
        <w:spacing w:before="60" w:after="80"/>
      </w:pPr>
      <w:r>
        <w:rPr>
          <w:rFonts w:ascii="Arial" w:cs="Arial" w:eastAsia="Arial" w:hAnsi="Arial"/>
          <w:color w:val="333333"/>
          <w:sz w:val="22"/>
          <w:szCs w:val="22"/>
        </w:rPr>
        <w:t xml:space="preserve">Base case — 2 courses delivered in a given month, each with 8 students, blended rate CAD $1,200, direct cost rate 55%: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Gross revenue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2 courses × 8 students × $1,200 = CAD $19,200</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Direct instructional costs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$10,560 (55%)</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Contribution margin (pre-facility)</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$8,640</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Fixed facility fee (1–2 courses band)</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$1,250</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Revenue share (12% × $8,640)</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$1,037</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Total to Niagara Assembly (this month)</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$2,287</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Net Clark contribution (this month)</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$6,353</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Net Clark annualized (12 months × avg)</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~CAD $76,236</w:t>
            </w:r>
          </w:p>
        </w:tc>
      </w:tr>
    </w:tbl>
    <w:p>
      <w:pPr>
        <w:spacing w:before="100" w:after="0"/>
      </w:pPr>
      <w:r>
        <w:t xml:space="preserve"/>
      </w:r>
    </w:p>
    <w:p>
      <w:pPr>
        <w:pStyle w:val="Heading2"/>
        <w:spacing w:before="260" w:after="80"/>
      </w:pPr>
      <w:r>
        <w:rPr>
          <w:rFonts w:ascii="Arial" w:cs="Arial" w:eastAsia="Arial" w:hAnsi="Arial"/>
          <w:b/>
          <w:bCs/>
          <w:color w:val="2E6DA4"/>
          <w:sz w:val="26"/>
          <w:szCs w:val="26"/>
        </w:rPr>
        <w:t xml:space="preserve">5.2 Break-Even Analysis</w:t>
      </w:r>
    </w:p>
    <w:p>
      <w:pPr>
        <w:spacing w:before="60" w:after="80"/>
      </w:pPr>
      <w:r>
        <w:rPr>
          <w:rFonts w:ascii="Arial" w:cs="Arial" w:eastAsia="Arial" w:hAnsi="Arial"/>
          <w:color w:val="333333"/>
          <w:sz w:val="22"/>
          <w:szCs w:val="22"/>
        </w:rPr>
        <w:t xml:space="preserve">Clark reaches monthly break-even on direct facility operating costs at the following course volumes (assuming instructor, exam, and materials costs are fully covered by tuition):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Minimum students per month (break-even)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~12–16 students (1.5–2 classes of 8)</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Minimum courses per month</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2 courses of 8 students at CAD $1,100 avg</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Monthly fixed costs to cover</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Instructor fees ~CAD $4,800 + IPC fees ~CAD $2,688 + facility fee ~CAD $1,250 = ~CAD $8,738</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Revenue at break-even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16 students × $1,100 = $17,600 gross → contribution $7,920 → positive after facility fee</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Conclusion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val="false"/>
                <w:bCs w:val="false"/>
                <w:color w:val="333333"/>
                <w:sz w:val="19"/>
                <w:szCs w:val="19"/>
              </w:rPr>
              <w:t xml:space="preserve">Clark reaches monthly operating break-even at approximately 2 classes per month of 8 students each. This is the Year 1 base case floor.</w:t>
            </w:r>
          </w:p>
        </w:tc>
      </w:tr>
    </w:tbl>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6. Summary and Key Planning Numbers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1B3A5C"/>
                <w:sz w:val="21"/>
                <w:szCs w:val="21"/>
              </w:rPr>
              <w:t xml:space="preserve">Total addressable corridor students (Year 1)</w:t>
            </w:r>
          </w:p>
        </w:tc>
        <w:tc>
          <w:tcPr>
            <w:tcW w:type="dxa" w:w="4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2E6DA4"/>
                <w:sz w:val="21"/>
                <w:szCs w:val="21"/>
              </w:rPr>
              <w:t xml:space="preserve">~233–320 student-events/year</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80"/>
            </w:tcMar>
          </w:tcPr>
          <w:p>
            <w:r>
              <w:rPr>
                <w:rFonts w:ascii="Arial" w:cs="Arial" w:eastAsia="Arial" w:hAnsi="Arial"/>
                <w:b/>
                <w:bCs/>
                <w:color w:val="1B3A5C"/>
                <w:sz w:val="21"/>
                <w:szCs w:val="21"/>
              </w:rPr>
              <w:t xml:space="preserve">Year 1 revenue — Conservative</w:t>
            </w:r>
          </w:p>
        </w:tc>
        <w:tc>
          <w:tcPr>
            <w:tcW w:type="dxa" w:w="43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80"/>
            </w:tcMar>
          </w:tcPr>
          <w:p>
            <w:r>
              <w:rPr>
                <w:rFonts w:ascii="Arial" w:cs="Arial" w:eastAsia="Arial" w:hAnsi="Arial"/>
                <w:b/>
                <w:bCs/>
                <w:color w:val="2E6DA4"/>
                <w:sz w:val="21"/>
                <w:szCs w:val="21"/>
              </w:rPr>
              <w:t xml:space="preserve">CAD $123,200 gross / CAD $41,146 net Clark</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1B3A5C"/>
                <w:sz w:val="21"/>
                <w:szCs w:val="21"/>
              </w:rPr>
              <w:t xml:space="preserve">Year 1 revenue — Base Case</w:t>
            </w:r>
          </w:p>
        </w:tc>
        <w:tc>
          <w:tcPr>
            <w:tcW w:type="dxa" w:w="4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2E6DA4"/>
                <w:sz w:val="21"/>
                <w:szCs w:val="21"/>
              </w:rPr>
              <w:t xml:space="preserve">CAD $211,200 gross / CAD $62,536 net Clark</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1B3A5C"/>
                <w:sz w:val="21"/>
                <w:szCs w:val="21"/>
              </w:rPr>
              <w:t xml:space="preserve">Year 1 revenue — Optimistic</w:t>
            </w:r>
          </w:p>
        </w:tc>
        <w:tc>
          <w:tcPr>
            <w:tcW w:type="dxa" w:w="43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80"/>
            </w:tcMar>
          </w:tcPr>
          <w:p>
            <w:r>
              <w:rPr>
                <w:rFonts w:ascii="Arial" w:cs="Arial" w:eastAsia="Arial" w:hAnsi="Arial"/>
                <w:b/>
                <w:bCs/>
                <w:color w:val="2E6DA4"/>
                <w:sz w:val="21"/>
                <w:szCs w:val="21"/>
              </w:rPr>
              <w:t xml:space="preserve">CAD $413,100 gross / CAD $138,023 net Clark</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C3D9F0" w:val="clear"/>
            <w:tcMar>
              <w:top w:type="dxa" w:w="100"/>
              <w:left w:type="dxa" w:w="160"/>
              <w:bottom w:type="dxa" w:w="100"/>
              <w:right w:type="dxa" w:w="80"/>
            </w:tcMar>
          </w:tcPr>
          <w:p>
            <w:r>
              <w:rPr>
                <w:rFonts w:ascii="Arial" w:cs="Arial" w:eastAsia="Arial" w:hAnsi="Arial"/>
                <w:b/>
                <w:bCs/>
                <w:color w:val="1B3A5C"/>
                <w:sz w:val="21"/>
                <w:szCs w:val="21"/>
              </w:rPr>
              <w:t xml:space="preserve">Year 2 revenue — Base Case</w:t>
            </w:r>
          </w:p>
        </w:tc>
        <w:tc>
          <w:tcPr>
            <w:tcW w:type="dxa" w:w="4360"/>
            <w:tcBorders>
              <w:top w:val="single" w:color="CCCCCC" w:sz="1"/>
              <w:left w:val="single" w:color="CCCCCC" w:sz="1"/>
              <w:bottom w:val="single" w:color="CCCCCC" w:sz="1"/>
              <w:right w:val="single" w:color="CCCCCC" w:sz="1"/>
            </w:tcBorders>
            <w:shd w:fill="C3D9F0" w:val="clear"/>
            <w:tcMar>
              <w:top w:type="dxa" w:w="100"/>
              <w:left w:type="dxa" w:w="160"/>
              <w:bottom w:type="dxa" w:w="100"/>
              <w:right w:type="dxa" w:w="80"/>
            </w:tcMar>
          </w:tcPr>
          <w:p>
            <w:r>
              <w:rPr>
                <w:rFonts w:ascii="Arial" w:cs="Arial" w:eastAsia="Arial" w:hAnsi="Arial"/>
                <w:b/>
                <w:bCs/>
                <w:color w:val="2E6DA4"/>
                <w:sz w:val="21"/>
                <w:szCs w:val="21"/>
              </w:rPr>
              <w:t xml:space="preserve">CAD $429,000 gross / CAD $145,328 net Clark</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80"/>
            </w:tcMar>
          </w:tcPr>
          <w:p>
            <w:r>
              <w:rPr>
                <w:rFonts w:ascii="Arial" w:cs="Arial" w:eastAsia="Arial" w:hAnsi="Arial"/>
                <w:b/>
                <w:bCs/>
                <w:color w:val="1B3A5C"/>
                <w:sz w:val="21"/>
                <w:szCs w:val="21"/>
              </w:rPr>
              <w:t xml:space="preserve">Break-even threshold</w:t>
            </w:r>
          </w:p>
        </w:tc>
        <w:tc>
          <w:tcPr>
            <w:tcW w:type="dxa" w:w="4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80"/>
            </w:tcMar>
          </w:tcPr>
          <w:p>
            <w:r>
              <w:rPr>
                <w:rFonts w:ascii="Arial" w:cs="Arial" w:eastAsia="Arial" w:hAnsi="Arial"/>
                <w:b/>
                <w:bCs/>
                <w:color w:val="2E6DA4"/>
                <w:sz w:val="21"/>
                <w:szCs w:val="21"/>
              </w:rPr>
              <w:t xml:space="preserve">2 classes/month of 8 students — achievable in first 60 days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CCCCCC" w:sz="2"/>
              <w:right w:val="single" w:color="CCCCCC" w:sz="2"/>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Planning Recommendation</w:t>
            </w:r>
          </w:p>
          <w:p>
            <w:pPr>
              <w:spacing w:before="40"/>
            </w:pPr>
            <w:r>
              <w:rPr>
                <w:rFonts w:ascii="Arial" w:cs="Arial" w:eastAsia="Arial" w:hAnsi="Arial"/>
                <w:color w:val="444444"/>
                <w:sz w:val="20"/>
                <w:szCs w:val="20"/>
              </w:rPr>
              <w:t xml:space="preserve">The training revenue model is viable from a small base. Break-even is reachable in the first 60 days with only 2 classes per month. The CIT pathway (instructor certification) is the highest-value course type and should be prioritized in the marketing plan alongside CIS. Clark Courses provide the highest long-term margin profile once the curriculum is built and amortized. The biggest first-year risk is not demand — the corridor demand analysis shows sufficient market — but instructor availability and the lead time to establish the EPTAC train-the-trainer pathway. Locking in the EPTAC relationship is the critical path item.</w:t>
            </w:r>
          </w:p>
        </w:tc>
      </w:tr>
    </w:tbl>
    <w:p>
      <w:pPr>
        <w:spacing w:before="200" w:after="0"/>
      </w:pPr>
      <w:r>
        <w:t xml:space="preserve"/>
      </w:r>
    </w:p>
    <w:p>
      <w:pPr>
        <w:spacing w:before="60" w:after="80"/>
      </w:pPr>
      <w:r>
        <w:rPr>
          <w:rFonts w:ascii="Arial" w:cs="Arial" w:eastAsia="Arial" w:hAnsi="Arial"/>
          <w:color w:val="999999"/>
          <w:sz w:val="18"/>
          <w:szCs w:val="18"/>
        </w:rPr>
        <w:t xml:space="preserve">Document prepared for Clark internal use. March 2025.</w:t>
      </w:r>
    </w:p>
    <w:p>
      <w:pPr>
        <w:spacing w:before="60" w:after="80"/>
      </w:pPr>
      <w:r>
        <w:rPr>
          <w:rFonts w:ascii="Arial" w:cs="Arial" w:eastAsia="Arial" w:hAnsi="Arial"/>
          <w:color w:val="999999"/>
          <w:sz w:val="18"/>
          <w:szCs w:val="18"/>
        </w:rPr>
        <w:t xml:space="preserve">Pricing data sourced from IPC certification portal, EPTAC published schedules, industry benchmark reports, and public training provider pricing. Revenue projections are planning estimates based on stated assumptions and should be validated through direct customer conversations.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6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2026-03-25T12:31:24.776Z</dcterms:created>
  <dcterms:modified xsi:type="dcterms:W3CDTF">2026-03-25T12:31:24.777Z</dcterms:modified>
</cp:coreProperties>
</file>

<file path=docProps/custom.xml><?xml version="1.0" encoding="utf-8"?>
<Properties xmlns="http://schemas.openxmlformats.org/officeDocument/2006/custom-properties" xmlns:vt="http://schemas.openxmlformats.org/officeDocument/2006/docPropsVTypes"/>
</file>