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cs="Arial" w:eastAsia="Arial" w:hAnsi="Arial"/>
        </w:rPr>
        <w:t xml:space="preserve">Supplementary Table: document-level validation by period and party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Area under the ROC curve (AUC) of the computed scores against the human majority labels in the document-level validation survey (1,142 passages of 10–50 tokens, 252 raters after attention-check exclusion). EMI is evaluated against the survey EMI label (mean evidence rating minus mean intuition rating &gt; 0); 95% confidence intervals from 1,000 bootstrap resamples within each group. Party is available only for Bundestag passages (548 of 1,142); Reichstag records carry no faction. Groups with fewer than 20 passages are omitted.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300"/>
        <w:gridCol w:w="1300"/>
        <w:gridCol w:w="13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Group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 chunks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EMI AUC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95% CI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Evidence AUC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Intuition AUC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chunks (pooled)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1,142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By period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Kaiserreich 1867–1918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417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0.68–0.78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Weimar Republic 1919–1932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0.65–0.81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National Socialism 1933–1945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0.37–0.85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Bonn Republic 1949–1990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0.62–0.75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Berlin Republic 1991–2014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0.58–0.75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0.63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2015–2025 (paper window)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0.62–0.83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0.77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>By party (post-1949 chunks)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0.67–0.81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CDU/CSU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0.63–0.79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0.67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Alliance 90/The Greens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0.55–0.85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0.72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AfD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0.36–0.99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0.42–0.73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0.64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Die Linke / PDS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0.42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0.22–0.64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0.36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0.56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Source: revision/results/07_validation_auc/ (auc_by_era.csv, auc_by_party.csv), revision.ipynb section 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2026-10-08T13:03:09.075Z</dcterms:created>
  <dcterms:modified xsi:type="dcterms:W3CDTF">2026-10-08T13:03:09.076Z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