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cs="Arial" w:eastAsia="Arial" w:hAnsi="Arial"/>
        </w:rPr>
        <w:t xml:space="preserve">Supplementary Table S-A: document-level validation by period and party (AUC)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Area under the ROC curve of the computed scores against the human majority labels in the document-level validation survey (1,142 passages of 10–50 tokens, 252 raters after attention-check exclusion). EMI is evaluated against the survey EMI label (mean evidence rating minus mean intuition rating &gt; 0); 95% confidence intervals from 1,000 bootstrap resamples within each group. Party is available only for Bundestag passages (548 of 1,142); Reichstag records carry no faction. Groups with fewer than 20 passages are omitted.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00"/>
        <w:gridCol w:w="1000"/>
        <w:gridCol w:w="1500"/>
        <w:gridCol w:w="1300"/>
        <w:gridCol w:w="1300"/>
      </w:tblGrid>
      <w:tr>
        <w:trPr>
          <w:tblHeader/>
        </w:trPr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Group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EMI AUC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95% CI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Evidence AUC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Intuition AUC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chunks (pooled)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1,142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0.68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By period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Kaiserreich 1867–1918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0.68 to 0.78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0.70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Weimar Republic 1919–1932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0.65 to 0.81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National Socialism 1933–1945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0.37 to 0.85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0.63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Bonn Republic 1949–1990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0.62 to 0.75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0.68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Berlin Republic 1991–2014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0.58 to 0.75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0.63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2015–2025 (paper window)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0.62 to 0.83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0.77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By party (post-1949 chunks)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0.67 to 0.81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0.71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CDU/CSU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0.63 to 0.79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0.67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Alliance 90/The Greens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0.55 to 0.85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0.36 to 0.99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0.78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FDP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0.42 to 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0.64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 Linke / PDS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0.22 to 0.64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0.56</w:t>
            </w:r>
          </w:p>
        </w:tc>
      </w:tr>
    </w:tbl>
    <w:p>
      <w:pPr>
        <w:spacing w:after="360" w:before="12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Source: revision/results/07_validation_auc/auc_by_era.csv, auc_by_party.csv.</w:t>
      </w:r>
    </w:p>
    <w:p>
      <w:pPr>
        <w:pStyle w:val="Heading2"/>
      </w:pPr>
      <w:r>
        <w:rPr>
          <w:rFonts w:ascii="Arial" w:cs="Arial" w:eastAsia="Arial" w:hAnsi="Arial"/>
        </w:rPr>
        <w:t xml:space="preserve">Supplementary Table S-B: correlations between computed scores and survey ratings by period and party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Spearman rank correlations between the computed score of a passage and the mean human rating of the same passage: evidence score versus mean evidence rating, intuition score versus mean intuition rating, and EMI versus the survey EMI (mean evidence rating minus mean intuition rating). 95% confidence intervals from 1,000 bootstrap resamples within each group. Same passages and groups as Table S-A. The pooled values reproduce Supplementary Note 2.11 (ρ = 0.15 for evidence, 0.39 for intuition in absolute value, 0.42 to 0.45 for EMI).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0"/>
        <w:gridCol w:w="900"/>
        <w:gridCol w:w="1400"/>
        <w:gridCol w:w="1900"/>
        <w:gridCol w:w="1900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Group</w:t>
            </w:r>
          </w:p>
        </w:tc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EMI ρ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95% CI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Evidence ρ (95% CI)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Intuition ρ (95% CI)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chunks (pooled)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1142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0.40 to 0.50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0.14 (0.09 to 0.20)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0.38 (0.32 to 0.42)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By period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Kaiserreich 1867–1918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0.38 to 0.54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0.14 (0.05 to 0.23)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0.41 (0.33 to 0.50)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Weimar Republic 1919–1932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0.39 to 0.62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0.06 (-0.10 to 0.23)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0.52 (0.39 to 0.64)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National Socialism 1933–1945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-0.08 to 0.57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-0.09 (-0.42 to 0.28)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 (-0.18 to 0.55)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Bonn Republic 1949–1990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0.31 to 0.51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 (-0.07 to 0.15)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0.36 (0.26 to 0.46)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Berlin Republic 1991–2014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0.18 to 0.48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0.11 (-0.04 to 0.27)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0.37 (0.21 to 0.50)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2015–2025 (paper window)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0.25 to 0.61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0.17 (-0.04 to 0.40)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0.49 (0.29 to 0.66)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By party (post-1949 chunks)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0.37 to 0.58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0.19 (0.06 to 0.34)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0.39 (0.26 to 0.51)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CDU/CSU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0.29 to 0.54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 (-0.08 to 0.25)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0.39 (0.26 to 0.52)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Alliance 90/The Greens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0.10 to 0.58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 (-0.29 to 0.29)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0.43 (0.16 to 0.65)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-0.24 to 0.69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 (-0.45 to 0.46)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0.46 (-0.03 to 0.81)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FDP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-0.11 to 0.45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-0.08 (-0.35 to 0.19)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0.27 (0.01 to 0.49)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 Linke / PDS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-0.29 to 0.51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-0.10 (-0.45 to 0.25)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0.27 (-0.16 to 0.61)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Source: revision/results/07_validation_auc/corr_pooled.csv, corr_by_era.csv, corr_by_party.csv (validation_correlations.py).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2026-10-08T13:21:57.195Z</dcterms:created>
  <dcterms:modified xsi:type="dcterms:W3CDTF">2026-10-08T13:21:57.196Z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