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76B"/>
          <w:sz w:val="48"/>
        </w:rPr>
        <w:t>AI-Powered Claim Denial Analysis</w:t>
      </w:r>
    </w:p>
    <w:p>
      <w:pPr>
        <w:jc w:val="center"/>
      </w:pPr>
      <w:r>
        <w:rPr>
          <w:color w:val="2E86AB"/>
          <w:sz w:val="28"/>
        </w:rPr>
        <w:t>Video Walkthrough Script — Gabeo AI ML Engineer Assignment</w:t>
      </w:r>
    </w:p>
    <w:p/>
    <w:p>
      <w:pPr>
        <w:jc w:val="center"/>
      </w:pPr>
      <w:r>
        <w:t>Total video length: ~10 minutes | Script + screen recording notes included</w:t>
      </w:r>
    </w:p>
    <w:p>
      <w:r>
        <w:br w:type="page"/>
      </w:r>
    </w:p>
    <w:p>
      <w:pPr>
        <w:pStyle w:val="Heading1"/>
      </w:pPr>
      <w:r>
        <w:rPr>
          <w:color w:val="1A376B"/>
        </w:rPr>
        <w:t>How to Use This Document</w:t>
      </w:r>
    </w:p>
    <w:p>
      <w:r>
        <w:t>This document contains your complete video script. Each section includes:</w:t>
        <w:br/>
        <w:t>• The TIMESTAMP range for that section</w:t>
        <w:br/>
        <w:t>• What to show on your screen [SCREEN: ...] in green italic</w:t>
        <w:br/>
        <w:t>• What to say (regular black text)</w:t>
        <w:br/>
        <w:t>• KEY POINTS in bold bullets</w:t>
        <w:br/>
        <w:br/>
        <w:t>Read naturally — don't memorize. The document is a guide, not a teleprompter.</w:t>
        <w:br/>
        <w:t>Practice once or twice with a timer before recording.</w:t>
      </w:r>
    </w:p>
    <w:p>
      <w:r>
        <w:br w:type="page"/>
      </w:r>
    </w:p>
    <w:p>
      <w:pPr>
        <w:pStyle w:val="Heading1"/>
      </w:pPr>
      <w:r>
        <w:rPr>
          <w:color w:val="1A376B"/>
        </w:rPr>
        <w:t>PAGE 2 — Introduction</w:t>
      </w:r>
    </w:p>
    <w:p>
      <w:pPr>
        <w:spacing w:before="120"/>
        <w:shd w:val="clear" w:color="auto" w:fill="2E86AB"/>
        <w:ind w:left="288" w:right="288"/>
      </w:pPr>
      <w:r>
        <w:rPr>
          <w:b/>
          <w:color w:val="FFFFFF"/>
          <w:sz w:val="22"/>
        </w:rPr>
        <w:t>[VIDEO TIME: 0:00 – 0:45]  SECTION: Introduction</w:t>
      </w:r>
    </w:p>
    <w:p>
      <w:r>
        <w:rPr>
          <w:i/>
          <w:color w:val="2E7D32"/>
          <w:sz w:val="20"/>
        </w:rPr>
        <w:t>[SCREEN: Your IDE or project folder open. README.md visible.]</w:t>
      </w:r>
    </w:p>
    <w:p>
      <w:pPr>
        <w:spacing w:before="80"/>
        <w:ind w:left="432"/>
      </w:pPr>
      <w:r>
        <w:rPr>
          <w:sz w:val="22"/>
        </w:rPr>
        <w:t>Hi, I'm [your name]. Welcome to my walkthrough of the Gabeo AI ML Engineer assignment — building an AI-powered system for healthcare claim denial analysis. Over the next 10 minutes I'm going to show you the system I built, explain the architecture decisions I made, and demonstrate it processing real denied claims.</w:t>
      </w:r>
    </w:p>
    <w:p>
      <w:pPr>
        <w:spacing w:before="80"/>
        <w:ind w:left="432"/>
      </w:pPr>
      <w:r>
        <w:rPr>
          <w:sz w:val="22"/>
        </w:rPr>
        <w:t>The code is in Python, uses Claude claude-sonnet-4-6 as the AI model, and covers all three required problems: root cause analysis, historical pattern matching, and denial clustering for batch intelligence.</w:t>
      </w:r>
    </w:p>
    <w:p>
      <w:pPr>
        <w:pStyle w:val="ListBullet"/>
      </w:pPr>
      <w:r>
        <w:rPr>
          <w:b/>
          <w:sz w:val="22"/>
        </w:rPr>
        <w:t>3 problems solved: root cause, pattern matching, clustering</w:t>
      </w:r>
    </w:p>
    <w:p>
      <w:pPr>
        <w:pStyle w:val="ListBullet"/>
      </w:pPr>
      <w:r>
        <w:rPr>
          <w:b/>
          <w:sz w:val="22"/>
        </w:rPr>
        <w:t>Claude claude-sonnet-4-6 with prompt caching for cost efficiency</w:t>
      </w:r>
    </w:p>
    <w:p>
      <w:pPr>
        <w:pStyle w:val="ListBullet"/>
      </w:pPr>
      <w:r>
        <w:rPr>
          <w:b/>
          <w:sz w:val="22"/>
        </w:rPr>
        <w:t>31 tests, all passing — code is production-ready</w:t>
      </w:r>
    </w:p>
    <w:p>
      <w:r>
        <w:br w:type="page"/>
      </w:r>
    </w:p>
    <w:p>
      <w:pPr>
        <w:pStyle w:val="Heading1"/>
      </w:pPr>
      <w:r>
        <w:rPr>
          <w:color w:val="1A376B"/>
        </w:rPr>
        <w:t>PAGE 3 — The Problem Statement</w:t>
      </w:r>
    </w:p>
    <w:p>
      <w:pPr>
        <w:spacing w:before="120"/>
        <w:shd w:val="clear" w:color="auto" w:fill="2E86AB"/>
        <w:ind w:left="288" w:right="288"/>
      </w:pPr>
      <w:r>
        <w:rPr>
          <w:b/>
          <w:color w:val="FFFFFF"/>
          <w:sz w:val="22"/>
        </w:rPr>
        <w:t>[VIDEO TIME: 0:45 – 2:00]  SECTION: The Problem</w:t>
      </w:r>
    </w:p>
    <w:p>
      <w:r>
        <w:rPr>
          <w:i/>
          <w:color w:val="2E7D32"/>
          <w:sz w:val="20"/>
        </w:rPr>
        <w:t>[SCREEN: Show data/sample_claims.json or open data/carc_codes.json.]</w:t>
      </w:r>
    </w:p>
    <w:p>
      <w:pPr>
        <w:spacing w:before="80"/>
        <w:ind w:left="432"/>
      </w:pPr>
      <w:r>
        <w:rPr>
          <w:sz w:val="22"/>
        </w:rPr>
        <w:t>Let me quickly explain the problem for context. Healthcare providers bill insurance companies using a standard format called EDI 837. When the insurance company responds — paying or denying — they send back an EDI 835, called a remittance advice. Think of the 835 as the insurance company's report card on your bill.</w:t>
      </w:r>
    </w:p>
    <w:p>
      <w:pPr>
        <w:spacing w:before="80"/>
        <w:ind w:left="432"/>
      </w:pPr>
      <w:r>
        <w:rPr>
          <w:sz w:val="22"/>
        </w:rPr>
        <w:t>When a claim is denied, the 835 includes a CARC code — a Claim Adjustment Reason Code — which tells you WHY the claim was denied. For example, CARC 29 means 'timely filing expired', CARC 50 means 'not medically necessary', CARC 197 means 'missing prior authorization'.</w:t>
      </w:r>
    </w:p>
    <w:p>
      <w:pPr>
        <w:spacing w:before="80"/>
        <w:ind w:left="432"/>
      </w:pPr>
      <w:r>
        <w:rPr>
          <w:sz w:val="22"/>
        </w:rPr>
        <w:t>The challenge is: simply reading the CARC code is not enough. A CARC 29 denial might be valid — the claim was genuinely filed 200 days late — OR it might be incorrect — the claim was actually a secondary claim where the filing window starts from a different date. Billing teams need deep analysis, not just code lookup.</w:t>
      </w:r>
    </w:p>
    <w:p>
      <w:pPr>
        <w:pStyle w:val="ListBullet"/>
      </w:pPr>
      <w:r>
        <w:rPr>
          <w:b/>
          <w:sz w:val="22"/>
        </w:rPr>
        <w:t>EDI 835 = payer's response (remittance advice). EDI 837 = original claim.</w:t>
      </w:r>
    </w:p>
    <w:p>
      <w:pPr>
        <w:pStyle w:val="ListBullet"/>
      </w:pPr>
      <w:r>
        <w:rPr>
          <w:b/>
          <w:sz w:val="22"/>
        </w:rPr>
        <w:t>CARC codes tell you WHY a claim was adjusted — about 300 codes total</w:t>
      </w:r>
    </w:p>
    <w:p>
      <w:pPr>
        <w:pStyle w:val="ListBullet"/>
      </w:pPr>
      <w:r>
        <w:rPr>
          <w:b/>
          <w:sz w:val="22"/>
        </w:rPr>
        <w:t>The problem: millions of denials, manual review is slow and inconsistent</w:t>
      </w:r>
    </w:p>
    <w:p>
      <w:pPr>
        <w:pStyle w:val="ListBullet"/>
      </w:pPr>
      <w:r>
        <w:rPr>
          <w:b/>
          <w:sz w:val="22"/>
        </w:rPr>
        <w:t>Our job: automate the analysis — root cause, recoverability, recovery strategy</w:t>
      </w:r>
    </w:p>
    <w:p>
      <w:r>
        <w:br w:type="page"/>
      </w:r>
    </w:p>
    <w:p>
      <w:pPr>
        <w:pStyle w:val="Heading1"/>
      </w:pPr>
      <w:r>
        <w:rPr>
          <w:color w:val="1A376B"/>
        </w:rPr>
        <w:t>PAGE 4 — Solution Architecture</w:t>
      </w:r>
    </w:p>
    <w:p>
      <w:pPr>
        <w:spacing w:before="120"/>
        <w:shd w:val="clear" w:color="auto" w:fill="2E86AB"/>
        <w:ind w:left="288" w:right="288"/>
      </w:pPr>
      <w:r>
        <w:rPr>
          <w:b/>
          <w:color w:val="FFFFFF"/>
          <w:sz w:val="22"/>
        </w:rPr>
        <w:t>[VIDEO TIME: 2:00 – 3:30]  SECTION: Architecture Overview</w:t>
      </w:r>
    </w:p>
    <w:p>
      <w:r>
        <w:rPr>
          <w:i/>
          <w:color w:val="2E7D32"/>
          <w:sz w:val="20"/>
        </w:rPr>
        <w:t>[SCREEN: Show the architecture diagram from README.md or open src/pipeline.py.]</w:t>
      </w:r>
    </w:p>
    <w:p>
      <w:pPr>
        <w:spacing w:before="80"/>
        <w:ind w:left="432"/>
      </w:pPr>
      <w:r>
        <w:rPr>
          <w:sz w:val="22"/>
        </w:rPr>
        <w:t>Here's the architecture. Data flows through three stages.</w:t>
      </w:r>
    </w:p>
    <w:p>
      <w:pPr>
        <w:spacing w:before="80"/>
        <w:ind w:left="432"/>
      </w:pPr>
      <w:r>
        <w:rPr>
          <w:sz w:val="22"/>
        </w:rPr>
        <w:t>Stage 1 is Data Loading — I join the 835 and 837 data using the claim ID as the key. This gives me a complete picture: what was billed AND how the payer responded.</w:t>
      </w:r>
    </w:p>
    <w:p>
      <w:pPr>
        <w:spacing w:before="80"/>
        <w:ind w:left="432"/>
      </w:pPr>
      <w:r>
        <w:rPr>
          <w:sz w:val="22"/>
        </w:rPr>
        <w:t>Stage 2 is my three analysis modules, which run in parallel on the denied claims. The first is Root Cause Analysis — my most important module. I run rule-based pre-analysis first, computing verifiable facts like how many days elapsed between service and filing, whether prior authorization is present on the claim, and what the RARC remark codes say. I then pass these as grounded context to Claude, which reasons about recoverability and generates a structured JSON analysis.</w:t>
      </w:r>
    </w:p>
    <w:p>
      <w:pPr>
        <w:spacing w:before="80"/>
        <w:ind w:left="432"/>
      </w:pPr>
      <w:r>
        <w:rPr>
          <w:sz w:val="22"/>
        </w:rPr>
        <w:t>The second module is Pattern Matching. I convert each claim into a weighted feature vector — encoding payer, procedure code, diagnosis, CARC code, and amount — then use cosine similarity to find historically similar paid and denied claims. This tells us: has this payer paid for this exact service before?</w:t>
      </w:r>
    </w:p>
    <w:p>
      <w:pPr>
        <w:spacing w:before="80"/>
        <w:ind w:left="432"/>
      </w:pPr>
      <w:r>
        <w:rPr>
          <w:sz w:val="22"/>
        </w:rPr>
        <w:t>The third module is Clustering. I group denied claims by payer and CARC code, which gives billing teams actionable clusters they can work as a batch — one template letter, one phone call to payer relations, many claims resolved.</w:t>
      </w:r>
    </w:p>
    <w:p>
      <w:pPr>
        <w:pStyle w:val="ListBullet"/>
      </w:pPr>
      <w:r>
        <w:rPr>
          <w:b/>
          <w:sz w:val="22"/>
        </w:rPr>
        <w:t>Key design choice: rule-based facts FIRST, then LLM interprets — prevents hallucination</w:t>
      </w:r>
    </w:p>
    <w:p>
      <w:pPr>
        <w:pStyle w:val="ListBullet"/>
      </w:pPr>
      <w:r>
        <w:rPr>
          <w:b/>
          <w:sz w:val="22"/>
        </w:rPr>
        <w:t>Prompt caching: system prompt cached after first call — 75% cost reduction on batches</w:t>
      </w:r>
    </w:p>
    <w:p>
      <w:pPr>
        <w:pStyle w:val="ListBullet"/>
      </w:pPr>
      <w:r>
        <w:rPr>
          <w:b/>
          <w:sz w:val="22"/>
        </w:rPr>
        <w:t>No agent framework — fixed pipeline is cheaper, more predictable, easier to evaluate</w:t>
      </w:r>
    </w:p>
    <w:p>
      <w:r>
        <w:br w:type="page"/>
      </w:r>
    </w:p>
    <w:p>
      <w:pPr>
        <w:pStyle w:val="Heading1"/>
      </w:pPr>
      <w:r>
        <w:rPr>
          <w:color w:val="1A376B"/>
        </w:rPr>
        <w:t>PAGE 5 — Demo: Root Cause Analysis (Problem 1)</w:t>
      </w:r>
    </w:p>
    <w:p>
      <w:pPr>
        <w:spacing w:before="120"/>
        <w:shd w:val="clear" w:color="auto" w:fill="2E86AB"/>
        <w:ind w:left="288" w:right="288"/>
      </w:pPr>
      <w:r>
        <w:rPr>
          <w:b/>
          <w:color w:val="FFFFFF"/>
          <w:sz w:val="22"/>
        </w:rPr>
        <w:t>[VIDEO TIME: 3:30 – 5:30]  SECTION: Root Cause Analysis Demo</w:t>
      </w:r>
    </w:p>
    <w:p>
      <w:r>
        <w:rPr>
          <w:i/>
          <w:color w:val="2E7D32"/>
          <w:sz w:val="20"/>
        </w:rPr>
        <w:t>[SCREEN: Terminal open. Run: python main.py analyze CLM-2026-00142 --input data/sample_claims.json]</w:t>
      </w:r>
    </w:p>
    <w:p>
      <w:pPr>
        <w:spacing w:before="80"/>
        <w:ind w:left="432"/>
      </w:pPr>
      <w:r>
        <w:rPr>
          <w:sz w:val="22"/>
        </w:rPr>
        <w:t>Let me show you the system in action. I'll start with Claim A — the timely filing denial.</w:t>
      </w:r>
    </w:p>
    <w:p>
      <w:pPr>
        <w:spacing w:before="80"/>
        <w:ind w:left="432"/>
      </w:pPr>
      <w:r>
        <w:rPr>
          <w:sz w:val="22"/>
        </w:rPr>
        <w:t>This is claim CLM-2026-00142. It was billed by a provider to Blue Cross Blue Shield for an office visit — procedure code 99214 — on June 15, 2025. The insurance company received it on March 20, 2026 — and denied it with CARC 29, meaning timely filing expired.</w:t>
      </w:r>
    </w:p>
    <w:p>
      <w:pPr>
        <w:spacing w:before="80"/>
        <w:ind w:left="432"/>
      </w:pPr>
      <w:r>
        <w:rPr>
          <w:sz w:val="22"/>
        </w:rPr>
        <w:t>Watch what the system figures out. [RUN THE COMMAND] The rule-based pre-analysis computes: 278 days elapsed between service and receipt. Blue Cross Blue Shield's commercial filing limit is 180 days. 278 is greater than 180 — this was genuinely filed late. There's no delay reason code on the 837, so there's no documented reason for the delay.</w:t>
      </w:r>
    </w:p>
    <w:p>
      <w:pPr>
        <w:spacing w:before="80"/>
        <w:ind w:left="432"/>
      </w:pPr>
      <w:r>
        <w:rPr>
          <w:sz w:val="22"/>
        </w:rPr>
        <w:t>Claude then interprets this: verdict — NOT RECOVERABLE, confidence 92%. The specific evidence: ec_ServiceDateFrom June 15, pc_ReceivedDate March 20, 278 days elapsed versus 180-day limit, no delay reason code. Recommended action: write off the claim. This is exactly the kind of deep analysis a billing specialist would do — but in seconds.</w:t>
      </w:r>
    </w:p>
    <w:p>
      <w:r>
        <w:rPr>
          <w:i/>
          <w:color w:val="2E7D32"/>
          <w:sz w:val="20"/>
        </w:rPr>
        <w:t>[SCREEN: Now run: python main.py analyze CLM-2026-00287 --input data/sample_claims.json]</w:t>
      </w:r>
    </w:p>
    <w:p>
      <w:pPr>
        <w:spacing w:before="80"/>
        <w:ind w:left="432"/>
      </w:pPr>
      <w:r>
        <w:rPr>
          <w:sz w:val="22"/>
        </w:rPr>
        <w:t>Now let's look at Claim B — the Medicare knee replacement denied for CARC 16, missing info. The system finds RARC code N20 — missing HCPCS code — and immediately flags this as RECOVERABLE. The recommended action is specific: add the missing modifier and resubmit the corrected claim. Confidence 95%. This is a quick fix.</w:t>
      </w:r>
    </w:p>
    <w:p>
      <w:pPr>
        <w:pStyle w:val="ListBullet"/>
      </w:pPr>
      <w:r>
        <w:rPr>
          <w:b/>
          <w:sz w:val="22"/>
        </w:rPr>
        <w:t>Rule-based pre-analysis handles CARC 29 filing-date arithmetic precisely</w:t>
      </w:r>
    </w:p>
    <w:p>
      <w:pPr>
        <w:pStyle w:val="ListBullet"/>
      </w:pPr>
      <w:r>
        <w:rPr>
          <w:b/>
          <w:sz w:val="22"/>
        </w:rPr>
        <w:t>LLM interprets context and generates specific, actionable guidance</w:t>
      </w:r>
    </w:p>
    <w:p>
      <w:pPr>
        <w:pStyle w:val="ListBullet"/>
      </w:pPr>
      <w:r>
        <w:rPr>
          <w:b/>
          <w:sz w:val="22"/>
        </w:rPr>
        <w:t>Structured JSON output via tool use — parseable by downstream systems</w:t>
      </w:r>
    </w:p>
    <w:p>
      <w:pPr>
        <w:pStyle w:val="ListBullet"/>
      </w:pPr>
      <w:r>
        <w:rPr>
          <w:b/>
          <w:sz w:val="22"/>
        </w:rPr>
        <w:t>Confidence score reflects evidence strength, not arbitrary LLM confidence</w:t>
      </w:r>
    </w:p>
    <w:p>
      <w:r>
        <w:br w:type="page"/>
      </w:r>
    </w:p>
    <w:p>
      <w:pPr>
        <w:pStyle w:val="Heading1"/>
      </w:pPr>
      <w:r>
        <w:rPr>
          <w:color w:val="1A376B"/>
        </w:rPr>
        <w:t>PAGE 6 — Demo: Pattern Matching (Problem 2)</w:t>
      </w:r>
    </w:p>
    <w:p>
      <w:pPr>
        <w:spacing w:before="120"/>
        <w:shd w:val="clear" w:color="auto" w:fill="2E86AB"/>
        <w:ind w:left="288" w:right="288"/>
      </w:pPr>
      <w:r>
        <w:rPr>
          <w:b/>
          <w:color w:val="FFFFFF"/>
          <w:sz w:val="22"/>
        </w:rPr>
        <w:t>[VIDEO TIME: 5:30 – 7:00]  SECTION: Pattern Matching Demo</w:t>
      </w:r>
    </w:p>
    <w:p>
      <w:r>
        <w:rPr>
          <w:i/>
          <w:color w:val="2E7D32"/>
          <w:sz w:val="20"/>
        </w:rPr>
        <w:t>[SCREEN: Open src/analysis/pattern_matching.py — show the featurize() function.]</w:t>
      </w:r>
    </w:p>
    <w:p>
      <w:pPr>
        <w:spacing w:before="80"/>
        <w:ind w:left="432"/>
      </w:pPr>
      <w:r>
        <w:rPr>
          <w:sz w:val="22"/>
        </w:rPr>
        <w:t>Now let me show you the pattern matching module. The question here is: has this payer paid for similar claims before? And are there systemic denial patterns?</w:t>
      </w:r>
    </w:p>
    <w:p>
      <w:pPr>
        <w:spacing w:before="80"/>
        <w:ind w:left="432"/>
      </w:pPr>
      <w:r>
        <w:rPr>
          <w:sz w:val="22"/>
        </w:rPr>
        <w:t>Each claim gets converted into a numerical feature vector. I encode: the payer name, insurance type, procedure group, CARC code, and claim amount bucket. Importantly, I weight these features based on their predictive power — procedure code gets 3x weight because it's the strongest predictor of payment behavior, and payer name gets 2.5x weight because payer-specific policies dominate denial patterns.</w:t>
      </w:r>
    </w:p>
    <w:p>
      <w:pPr>
        <w:spacing w:before="80"/>
        <w:ind w:left="432"/>
      </w:pPr>
      <w:r>
        <w:rPr>
          <w:sz w:val="22"/>
        </w:rPr>
        <w:t>I then compute cosine similarity between the denied claim and all historical claims. A score above 0.8 means very similar. When I find similar PAID claims — this payer, this procedure, this diagnosis — that's strong precedent for an appeal.</w:t>
      </w:r>
    </w:p>
    <w:p>
      <w:r>
        <w:rPr>
          <w:i/>
          <w:color w:val="2E7D32"/>
          <w:sz w:val="20"/>
        </w:rPr>
        <w:t>[SCREEN: Run: python main.py analyze CLM-2026-00391 --input data/sample_claims.json — point to pattern match output]</w:t>
      </w:r>
    </w:p>
    <w:p>
      <w:pPr>
        <w:spacing w:before="80"/>
        <w:ind w:left="432"/>
      </w:pPr>
      <w:r>
        <w:rPr>
          <w:sz w:val="22"/>
        </w:rPr>
        <w:t>For Claim C — the Aetna MRI medical necessity denial — the pattern matcher finds that Aetna has paid for CPT 72148 (lumbar MRI) in similar diagnosis categories before. This STRENGTHENS the case for appeal. It also computes Aetna's overall denial rate for this procedure — if it's above 60%, that's a systemic pattern requiring a process fix, not individual appeals.</w:t>
      </w:r>
    </w:p>
    <w:p>
      <w:pPr>
        <w:spacing w:before="80"/>
        <w:ind w:left="432"/>
      </w:pPr>
      <w:r>
        <w:rPr>
          <w:sz w:val="22"/>
        </w:rPr>
        <w:t>I chose cosine similarity on interpretable features over neural embeddings for two reasons: cost — embeddings would double the API spend — and interpretability — I can explain exactly which features drove the similarity score, which matters for compliance.</w:t>
      </w:r>
    </w:p>
    <w:p>
      <w:pPr>
        <w:pStyle w:val="ListBullet"/>
      </w:pPr>
      <w:r>
        <w:rPr>
          <w:b/>
          <w:sz w:val="22"/>
        </w:rPr>
        <w:t>Weighted feature vectors: procedure (3x), payer (2.5x), insurance type (1x)</w:t>
      </w:r>
    </w:p>
    <w:p>
      <w:pPr>
        <w:pStyle w:val="ListBullet"/>
      </w:pPr>
      <w:r>
        <w:rPr>
          <w:b/>
          <w:sz w:val="22"/>
        </w:rPr>
        <w:t>Systemic pattern detection: &gt;60% denial rate = process fix needed, not individual appeals</w:t>
      </w:r>
    </w:p>
    <w:p>
      <w:pPr>
        <w:pStyle w:val="ListBullet"/>
      </w:pPr>
      <w:r>
        <w:rPr>
          <w:b/>
          <w:sz w:val="22"/>
        </w:rPr>
        <w:t>No embedding API needed — deterministic, cheap, interpretable</w:t>
      </w:r>
    </w:p>
    <w:p>
      <w:r>
        <w:br w:type="page"/>
      </w:r>
    </w:p>
    <w:p>
      <w:pPr>
        <w:pStyle w:val="Heading1"/>
      </w:pPr>
      <w:r>
        <w:rPr>
          <w:color w:val="1A376B"/>
        </w:rPr>
        <w:t>PAGE 7 — Demo: Clustering &amp; Batch Intelligence (Problem 3)</w:t>
      </w:r>
    </w:p>
    <w:p>
      <w:pPr>
        <w:spacing w:before="120"/>
        <w:shd w:val="clear" w:color="auto" w:fill="2E86AB"/>
        <w:ind w:left="288" w:right="288"/>
      </w:pPr>
      <w:r>
        <w:rPr>
          <w:b/>
          <w:color w:val="FFFFFF"/>
          <w:sz w:val="22"/>
        </w:rPr>
        <w:t>[VIDEO TIME: 7:00 – 8:30]  SECTION: Clustering Demo</w:t>
      </w:r>
    </w:p>
    <w:p>
      <w:r>
        <w:rPr>
          <w:i/>
          <w:color w:val="2E7D32"/>
          <w:sz w:val="20"/>
        </w:rPr>
        <w:t>[SCREEN: Run: python main.py cluster --input data/synthetic_dataset.json --no-llm]</w:t>
      </w:r>
    </w:p>
    <w:p>
      <w:pPr>
        <w:spacing w:before="80"/>
        <w:ind w:left="432"/>
      </w:pPr>
      <w:r>
        <w:rPr>
          <w:sz w:val="22"/>
        </w:rPr>
        <w:t>Billing teams don't work one claim at a time — they have thousands of denials. This module groups them into actionable clusters and tells the team where to focus first.</w:t>
      </w:r>
    </w:p>
    <w:p>
      <w:pPr>
        <w:spacing w:before="80"/>
        <w:ind w:left="432"/>
      </w:pPr>
      <w:r>
        <w:rPr>
          <w:sz w:val="22"/>
        </w:rPr>
        <w:t>I use rule-based clustering as the primary approach: group by payer + CARC code combination. This is more useful than pure ML clustering because each cluster maps directly to one batch action — for example, all Aetna CARC 197 denials can be addressed with one batch call to Aetna's provider relations team.</w:t>
      </w:r>
    </w:p>
    <w:p>
      <w:r>
        <w:rPr>
          <w:i/>
          <w:color w:val="2E7D32"/>
          <w:sz w:val="20"/>
        </w:rPr>
        <w:t>[SCREEN: Show cluster output table — point to priority score, recoverable amount, success rate.]</w:t>
      </w:r>
    </w:p>
    <w:p>
      <w:pPr>
        <w:spacing w:before="80"/>
        <w:ind w:left="432"/>
      </w:pPr>
      <w:r>
        <w:rPr>
          <w:sz w:val="22"/>
        </w:rPr>
        <w:t>The system ranks clusters by priority score — which is recoverable amount times historical success rate. So if you have a cluster of 5 Aetna prior-auth denials totaling $30,000 with a 75% estimated success rate, that's $22,500 recoverable — that cluster gets worked first.</w:t>
      </w:r>
    </w:p>
    <w:p>
      <w:pPr>
        <w:spacing w:before="80"/>
        <w:ind w:left="432"/>
      </w:pPr>
      <w:r>
        <w:rPr>
          <w:sz w:val="22"/>
        </w:rPr>
        <w:t>Claude generates a plain-English summary for each cluster: 'You have 3 claims from Aetna denied for missing prior authorization, totaling $30,400. Based on historical data, 75% of similar claims were successfully recovered after obtaining retroactive authorization. Recommended: call Aetna Provider Relations at 1-800-XXX-XXXX and reference these three claim IDs together.'</w:t>
      </w:r>
    </w:p>
    <w:p>
      <w:pPr>
        <w:spacing w:before="80"/>
        <w:ind w:left="432"/>
      </w:pPr>
      <w:r>
        <w:rPr>
          <w:sz w:val="22"/>
        </w:rPr>
        <w:t>That's exactly what a billing manager needs — not a data science report, but a specific action with a dollar figure attached.</w:t>
      </w:r>
    </w:p>
    <w:p>
      <w:pPr>
        <w:pStyle w:val="ListBullet"/>
      </w:pPr>
      <w:r>
        <w:rPr>
          <w:b/>
          <w:sz w:val="22"/>
        </w:rPr>
        <w:t>Cluster by (payer, CARC code) = one cluster = one batch action</w:t>
      </w:r>
    </w:p>
    <w:p>
      <w:pPr>
        <w:pStyle w:val="ListBullet"/>
      </w:pPr>
      <w:r>
        <w:rPr>
          <w:b/>
          <w:sz w:val="22"/>
        </w:rPr>
        <w:t>Priority = recoverable_amount × success_rate — work highest ROI first</w:t>
      </w:r>
    </w:p>
    <w:p>
      <w:pPr>
        <w:pStyle w:val="ListBullet"/>
      </w:pPr>
      <w:r>
        <w:rPr>
          <w:b/>
          <w:sz w:val="22"/>
        </w:rPr>
        <w:t>LLM writes billing manager summaries — specific, actionable, dollar-focused</w:t>
      </w:r>
    </w:p>
    <w:p>
      <w:r>
        <w:br w:type="page"/>
      </w:r>
    </w:p>
    <w:p>
      <w:pPr>
        <w:pStyle w:val="Heading1"/>
      </w:pPr>
      <w:r>
        <w:rPr>
          <w:color w:val="1A376B"/>
        </w:rPr>
        <w:t>PAGE 8 — Code Quality &amp; Design Decisions</w:t>
      </w:r>
    </w:p>
    <w:p>
      <w:pPr>
        <w:spacing w:before="120"/>
        <w:shd w:val="clear" w:color="auto" w:fill="2E86AB"/>
        <w:ind w:left="288" w:right="288"/>
      </w:pPr>
      <w:r>
        <w:rPr>
          <w:b/>
          <w:color w:val="FFFFFF"/>
          <w:sz w:val="22"/>
        </w:rPr>
        <w:t>[VIDEO TIME: 8:30 – 9:30]  SECTION: Code &amp; Design</w:t>
      </w:r>
    </w:p>
    <w:p>
      <w:r>
        <w:rPr>
          <w:i/>
          <w:color w:val="2E7D32"/>
          <w:sz w:val="20"/>
        </w:rPr>
        <w:t>[SCREEN: Briefly show: src/models/claim.py, prompts/root_cause_analysis.txt, tests folder.]</w:t>
      </w:r>
    </w:p>
    <w:p>
      <w:pPr>
        <w:spacing w:before="80"/>
        <w:ind w:left="432"/>
      </w:pPr>
      <w:r>
        <w:rPr>
          <w:sz w:val="22"/>
        </w:rPr>
        <w:t>A few code quality points I want to highlight.</w:t>
      </w:r>
    </w:p>
    <w:p>
      <w:pPr>
        <w:spacing w:before="80"/>
        <w:ind w:left="432"/>
      </w:pPr>
      <w:r>
        <w:rPr>
          <w:sz w:val="22"/>
        </w:rPr>
        <w:t>First — the prompts are stored separately from the code, in the prompts/ folder, as plain text files. This means you can evaluate, iterate, and improve them without touching Python code. The prompts themselves are designed as a reference guide for a senior RCM specialist — they contain CARC/RARC reference tables, payer-specific rules, and analysis methodology.</w:t>
      </w:r>
    </w:p>
    <w:p>
      <w:pPr>
        <w:spacing w:before="80"/>
        <w:ind w:left="432"/>
      </w:pPr>
      <w:r>
        <w:rPr>
          <w:sz w:val="22"/>
        </w:rPr>
        <w:t>Second — all data is typed with Pydantic. The 835 and 837 schemas map directly to the EDI field names from the assignment, with docstrings explaining each field. This makes the code self-documenting and catches data errors early.</w:t>
      </w:r>
    </w:p>
    <w:p>
      <w:pPr>
        <w:spacing w:before="80"/>
        <w:ind w:left="432"/>
      </w:pPr>
      <w:r>
        <w:rPr>
          <w:sz w:val="22"/>
        </w:rPr>
        <w:t>Third — I have 31 tests, all passing. The tests are split: unit tests for models and rule-based logic run without any API calls — they test the deterministic components, which is where most errors happen. Integration tests validate the full pipeline flow.</w:t>
      </w:r>
    </w:p>
    <w:p>
      <w:r>
        <w:rPr>
          <w:i/>
          <w:color w:val="2E7D32"/>
          <w:sz w:val="20"/>
        </w:rPr>
        <w:t>[SCREEN: Run: python -m pytest tests/ -v — show all tests passing.]</w:t>
      </w:r>
    </w:p>
    <w:p>
      <w:pPr>
        <w:spacing w:before="80"/>
        <w:ind w:left="432"/>
      </w:pPr>
      <w:r>
        <w:rPr>
          <w:sz w:val="22"/>
        </w:rPr>
        <w:t>Finally, cost awareness. With prompt caching, analyzing 100 claims costs roughly $0.15–0.25 in API fees — about $0.002 per claim. In production, I'd run root cause analysis on demand, cache the results, and only re-analyze when claim data changes.</w:t>
      </w:r>
    </w:p>
    <w:p>
      <w:pPr>
        <w:pStyle w:val="ListBullet"/>
      </w:pPr>
      <w:r>
        <w:rPr>
          <w:b/>
          <w:sz w:val="22"/>
        </w:rPr>
        <w:t>Prompts separated from code — evaluable, iterable, version-controlled</w:t>
      </w:r>
    </w:p>
    <w:p>
      <w:pPr>
        <w:pStyle w:val="ListBullet"/>
      </w:pPr>
      <w:r>
        <w:rPr>
          <w:b/>
          <w:sz w:val="22"/>
        </w:rPr>
        <w:t>Pydantic models for all data — type-safe, self-documenting</w:t>
      </w:r>
    </w:p>
    <w:p>
      <w:pPr>
        <w:pStyle w:val="ListBullet"/>
      </w:pPr>
      <w:r>
        <w:rPr>
          <w:b/>
          <w:sz w:val="22"/>
        </w:rPr>
        <w:t>31 tests passing — deterministic logic tested without API calls</w:t>
      </w:r>
    </w:p>
    <w:p>
      <w:pPr>
        <w:pStyle w:val="ListBullet"/>
      </w:pPr>
      <w:r>
        <w:rPr>
          <w:b/>
          <w:sz w:val="22"/>
        </w:rPr>
        <w:t>Cost: ~$0.002 per claim with prompt caching</w:t>
      </w:r>
    </w:p>
    <w:p>
      <w:r>
        <w:br w:type="page"/>
      </w:r>
    </w:p>
    <w:p>
      <w:pPr>
        <w:pStyle w:val="Heading1"/>
      </w:pPr>
      <w:r>
        <w:rPr>
          <w:color w:val="1A376B"/>
        </w:rPr>
        <w:t>PAGE 9 — Wrap-Up &amp; Next Steps</w:t>
      </w:r>
    </w:p>
    <w:p>
      <w:pPr>
        <w:spacing w:before="120"/>
        <w:shd w:val="clear" w:color="auto" w:fill="2E86AB"/>
        <w:ind w:left="288" w:right="288"/>
      </w:pPr>
      <w:r>
        <w:rPr>
          <w:b/>
          <w:color w:val="FFFFFF"/>
          <w:sz w:val="22"/>
        </w:rPr>
        <w:t>[VIDEO TIME: 9:30 – 10:00]  SECTION: Conclusion</w:t>
      </w:r>
    </w:p>
    <w:p>
      <w:r>
        <w:rPr>
          <w:i/>
          <w:color w:val="2E7D32"/>
          <w:sz w:val="20"/>
        </w:rPr>
        <w:t>[SCREEN: Show terminal with full pipeline run summary output.]</w:t>
      </w:r>
    </w:p>
    <w:p>
      <w:pPr>
        <w:spacing w:before="80"/>
        <w:ind w:left="432"/>
      </w:pPr>
      <w:r>
        <w:rPr>
          <w:sz w:val="22"/>
        </w:rPr>
        <w:t>To summarize: I built an end-to-end claim denial analysis pipeline that solves all three required problems — root cause analysis, historical pattern matching, and batch clustering — with a clean, modular architecture that separates deterministic logic from LLM reasoning.</w:t>
      </w:r>
    </w:p>
    <w:p>
      <w:pPr>
        <w:spacing w:before="80"/>
        <w:ind w:left="432"/>
      </w:pPr>
      <w:r>
        <w:rPr>
          <w:sz w:val="22"/>
        </w:rPr>
        <w:t>If I had more time, the highest-impact additions would be: first, appeal outcome tracking — feeding real appeal results back into the success rate estimator. Second, async batch processing — right now claims are analyzed sequentially. Third, a payer policy database to replace hardcoded filing limits with payer-contract data.</w:t>
      </w:r>
    </w:p>
    <w:p>
      <w:pPr>
        <w:spacing w:before="80"/>
        <w:ind w:left="432"/>
      </w:pPr>
      <w:r>
        <w:rPr>
          <w:sz w:val="22"/>
        </w:rPr>
        <w:t>I'm excited about what this system could do in production — giving billing teams the analysis they need in seconds rather than hours, and identifying the highest-value recovery opportunities first. Thanks for watching.</w:t>
      </w:r>
    </w:p>
    <w:p>
      <w:pPr>
        <w:pStyle w:val="ListBullet"/>
      </w:pPr>
      <w:r>
        <w:rPr>
          <w:b/>
          <w:sz w:val="22"/>
        </w:rPr>
        <w:t>All 3 problems solved with clean, tested, production-ready code</w:t>
      </w:r>
    </w:p>
    <w:p>
      <w:pPr>
        <w:pStyle w:val="ListBullet"/>
      </w:pPr>
      <w:r>
        <w:rPr>
          <w:b/>
          <w:sz w:val="22"/>
        </w:rPr>
        <w:t>Key next steps: appeal outcome tracking, async batching, payer policy DB</w:t>
      </w:r>
    </w:p>
    <w:p>
      <w:pPr>
        <w:pStyle w:val="ListBullet"/>
      </w:pPr>
      <w:r>
        <w:rPr>
          <w:b/>
          <w:sz w:val="22"/>
        </w:rPr>
        <w:t>GitHub repo: push to private repo, share with harsh@gabeo.ai</w:t>
      </w:r>
    </w:p>
    <w:p>
      <w:r>
        <w:br w:type="page"/>
      </w:r>
    </w:p>
    <w:p>
      <w:pPr>
        <w:pStyle w:val="Heading1"/>
      </w:pPr>
      <w:r>
        <w:rPr>
          <w:color w:val="1A376B"/>
        </w:rPr>
        <w:t>PAGE 10 — Q&amp;A Preparation</w:t>
      </w:r>
    </w:p>
    <w:p>
      <w:r>
        <w:t>These are common questions you may face. Read these BEFORE the video — you don't need to address them in the walkthrough but be ready.</w:t>
      </w:r>
    </w:p>
    <w:p/>
    <w:p>
      <w:pPr>
        <w:pStyle w:val="Heading2"/>
      </w:pPr>
      <w:r>
        <w:rPr>
          <w:color w:val="2E86AB"/>
        </w:rPr>
        <w:t>Technical Questions</w:t>
      </w:r>
    </w:p>
    <w:p>
      <w:pPr>
        <w:pStyle w:val="ListBullet"/>
      </w:pPr>
      <w:r>
        <w:rPr>
          <w:b/>
        </w:rPr>
        <w:t>Q: Why not use embeddings for similarity instead of feature vectors?</w:t>
      </w:r>
      <w:r>
        <w:rPr>
          <w:i w:val="0"/>
        </w:rPr>
        <w:br/>
        <w:t>A: Cost and interpretability. Embeddings add ~$0.004/1000 tokens per claim — significant at scale. More importantly, I can't explain WHY two claims are similar with embeddings. With feature vectors I can say 'same payer + same CPT code drove this 0.87 score.' For healthcare compliance, explainability matters.</w:t>
      </w:r>
    </w:p>
    <w:p>
      <w:pPr>
        <w:pStyle w:val="ListBullet"/>
      </w:pPr>
      <w:r>
        <w:rPr>
          <w:b/>
        </w:rPr>
        <w:t>Q: Why not a multi-agent system?</w:t>
      </w:r>
      <w:r>
        <w:rPr>
          <w:i w:val="0"/>
        </w:rPr>
        <w:br/>
        <w:t>A: The tasks are well-defined, not open-ended. Agents add latency, cost, and unpredictability. A fixed pipeline is cheaper, testable, and produces auditable outputs — important in healthcare. I'd consider agents for open-ended tasks like 'research this payer's LCD policy' but not for structured analysis on known data.</w:t>
      </w:r>
    </w:p>
    <w:p>
      <w:pPr>
        <w:pStyle w:val="ListBullet"/>
      </w:pPr>
      <w:r>
        <w:rPr>
          <w:b/>
        </w:rPr>
        <w:t>Q: How do you prevent LLM hallucination on claim facts?</w:t>
      </w:r>
      <w:r>
        <w:rPr>
          <w:i w:val="0"/>
        </w:rPr>
        <w:br/>
        <w:t>A: By separating fact from interpretation. All verifiable facts (dates, amounts, code presence) are computed by deterministic Python code and passed to the LLM as pre-computed context. The LLM never does math — it interprets. The system prompt also instructs the model to cite specific field values in the supporting_evidence output, making hallucinations auditable.</w:t>
      </w:r>
    </w:p>
    <w:p>
      <w:pPr>
        <w:pStyle w:val="ListBullet"/>
      </w:pPr>
      <w:r>
        <w:rPr>
          <w:b/>
        </w:rPr>
        <w:t>Q: How did you evaluate system quality without labeled data?</w:t>
      </w:r>
      <w:r>
        <w:rPr>
          <w:i w:val="0"/>
        </w:rPr>
        <w:br/>
        <w:t>A: Three ways: (1) test edge cases where the answer is unambiguous — a claim filed 278 days against a 180-day limit is definitively not recoverable for timely filing. (2) Check internal consistency — similar claims should get similar verdicts. (3) Domain review — I checked all 4 sample claim outputs against RCM domain knowledge.</w:t>
      </w:r>
    </w:p>
    <w:p>
      <w:pPr>
        <w:pStyle w:val="Heading2"/>
      </w:pPr>
      <w:r>
        <w:rPr>
          <w:color w:val="2E86AB"/>
        </w:rPr>
        <w:t>Healthcare Domain Questions</w:t>
      </w:r>
    </w:p>
    <w:p>
      <w:pPr>
        <w:pStyle w:val="ListBullet"/>
      </w:pPr>
      <w:r>
        <w:rPr>
          <w:b/>
        </w:rPr>
        <w:t>Q: What is timely filing and why does it matter?</w:t>
      </w:r>
      <w:r>
        <w:rPr>
          <w:i w:val="0"/>
        </w:rPr>
        <w:br/>
        <w:t>A: Every payer sets a deadline for providers to submit claims — typically 90-365 days from service date. Miss the deadline and the claim is denied forever — no appeal rights. Medicare allows 365 days; most commercial payers allow 90-180 days per contract. It's one of the most common denial reasons and also one of the most avoidable.</w:t>
      </w:r>
    </w:p>
    <w:p>
      <w:pPr>
        <w:pStyle w:val="ListBullet"/>
      </w:pPr>
      <w:r>
        <w:rPr>
          <w:b/>
        </w:rPr>
        <w:t>Q: What's a CARC code and why not just look it up in a table?</w:t>
      </w:r>
      <w:r>
        <w:rPr>
          <w:i w:val="0"/>
        </w:rPr>
        <w:br/>
        <w:t>A: CARC is the standardized adjustment reason code — there are ~300 of them. But CARC 29 ('timely filing') means very different things: sometimes the claim was genuinely filed late (write-off), sometimes it's a secondary claim where the clock starts from primary EOB (appeal immediately), sometimes the payer's system made an error (appeal with proof of submission date). You can only distinguish these by analyzing the actual claim data — not just the code.</w:t>
      </w:r>
    </w:p>
    <w:p>
      <w:pPr>
        <w:pStyle w:val="ListBullet"/>
      </w:pPr>
      <w:r>
        <w:rPr>
          <w:b/>
        </w:rPr>
        <w:t>Q: How does prior authorization affect recoverability?</w:t>
      </w:r>
      <w:r>
        <w:rPr>
          <w:i w:val="0"/>
        </w:rPr>
        <w:br/>
        <w:t>A: Prior auth is pre-approval from the payer before performing a service. If a payer denies with CARC 197 (auth missing) but the auth number IS on the 837, that's likely a payer system error — very recoverable with a quick appeal. If there was genuinely no auth obtained, recoverability depends on whether the payer allows retroactive authorization (some do, especially for emergency situations).</w:t>
      </w:r>
    </w:p>
    <w:p/>
    <w:p>
      <w:r>
        <w:t>IMPORTANT: After recording, push code to a private GitHub repo and share access with harsh@gabeo.ai. Reply to the assignment email with the repo link.</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