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center"/>
        <w:outlineLvl w:val="0"/>
        <w:rPr>
          <w:rFonts w:hint="eastAsia" w:ascii="Verdana" w:hAnsi="Verdana" w:eastAsia="宋体" w:cs="宋体"/>
          <w:b/>
          <w:bCs/>
          <w:color w:val="000000"/>
          <w:kern w:val="36"/>
          <w:sz w:val="42"/>
          <w:szCs w:val="42"/>
        </w:rPr>
      </w:pPr>
      <w:r>
        <w:rPr>
          <w:rFonts w:hint="eastAsia" w:ascii="Verdana" w:hAnsi="Verdana" w:eastAsia="宋体" w:cs="宋体"/>
          <w:b/>
          <w:bCs/>
          <w:color w:val="000000"/>
          <w:kern w:val="36"/>
          <w:sz w:val="42"/>
          <w:szCs w:val="42"/>
        </w:rPr>
        <w:t>数据仓库规范</w:t>
      </w:r>
    </w:p>
    <w:p>
      <w:pPr>
        <w:widowControl/>
        <w:shd w:val="clear" w:color="auto" w:fill="FFFFFF"/>
        <w:spacing w:before="150" w:after="150"/>
        <w:jc w:val="left"/>
        <w:outlineLvl w:val="0"/>
        <w:rPr>
          <w:rFonts w:ascii="Verdana" w:hAnsi="Verdana" w:eastAsia="宋体" w:cs="宋体"/>
          <w:b/>
          <w:bCs/>
          <w:color w:val="000000"/>
          <w:kern w:val="36"/>
          <w:sz w:val="42"/>
          <w:szCs w:val="42"/>
        </w:rPr>
      </w:pPr>
      <w:r>
        <w:rPr>
          <w:rFonts w:ascii="Verdana" w:hAnsi="Verdana" w:eastAsia="宋体" w:cs="宋体"/>
          <w:b/>
          <w:bCs/>
          <w:color w:val="000000"/>
          <w:kern w:val="36"/>
          <w:sz w:val="42"/>
          <w:szCs w:val="42"/>
        </w:rPr>
        <w:t>一． 数据仓库层次结构规范</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1.1 基本分层结构</w:t>
      </w:r>
    </w:p>
    <w:p>
      <w:pPr>
        <w:widowControl/>
        <w:shd w:val="clear" w:color="auto" w:fill="FFFFFF"/>
        <w:spacing w:before="150" w:after="150"/>
        <w:jc w:val="left"/>
        <w:rPr>
          <w:rFonts w:ascii="Verdana" w:hAnsi="Verdana" w:eastAsia="宋体" w:cs="宋体"/>
          <w:color w:val="000000"/>
          <w:kern w:val="0"/>
          <w:sz w:val="18"/>
          <w:szCs w:val="18"/>
        </w:rPr>
      </w:pPr>
      <w:r>
        <w:rPr>
          <w:rFonts w:hint="eastAsia" w:ascii="Verdana" w:hAnsi="Verdana" w:eastAsia="宋体" w:cs="宋体"/>
          <w:color w:val="000000"/>
          <w:kern w:val="0"/>
          <w:sz w:val="18"/>
          <w:szCs w:val="18"/>
          <w:lang w:val="en-US" w:eastAsia="zh-CN"/>
        </w:rPr>
        <w:t>数据仓库</w:t>
      </w:r>
      <w:r>
        <w:rPr>
          <w:rFonts w:ascii="Verdana" w:hAnsi="Verdana" w:eastAsia="宋体" w:cs="宋体"/>
          <w:color w:val="000000"/>
          <w:kern w:val="0"/>
          <w:sz w:val="18"/>
          <w:szCs w:val="18"/>
        </w:rPr>
        <w:t>的</w:t>
      </w:r>
      <w:r>
        <w:rPr>
          <w:rFonts w:hint="eastAsia" w:ascii="Verdana" w:hAnsi="Verdana" w:eastAsia="宋体" w:cs="宋体"/>
          <w:color w:val="000000"/>
          <w:kern w:val="0"/>
          <w:sz w:val="18"/>
          <w:szCs w:val="18"/>
          <w:lang w:val="en-US" w:eastAsia="zh-CN"/>
        </w:rPr>
        <w:t>层级</w:t>
      </w:r>
      <w:r>
        <w:rPr>
          <w:rFonts w:ascii="Verdana" w:hAnsi="Verdana" w:eastAsia="宋体" w:cs="宋体"/>
          <w:color w:val="000000"/>
          <w:kern w:val="0"/>
          <w:sz w:val="18"/>
          <w:szCs w:val="18"/>
        </w:rPr>
        <w:t>分为，</w:t>
      </w:r>
      <w:bookmarkStart w:id="0" w:name="_GoBack"/>
      <w:bookmarkEnd w:id="0"/>
      <w:r>
        <w:rPr>
          <w:rFonts w:ascii="Verdana" w:hAnsi="Verdana" w:eastAsia="宋体" w:cs="宋体"/>
          <w:color w:val="000000"/>
          <w:kern w:val="0"/>
          <w:sz w:val="18"/>
          <w:szCs w:val="18"/>
        </w:rPr>
        <w:t>ODS</w:t>
      </w:r>
      <w:r>
        <w:rPr>
          <w:rFonts w:hint="eastAsia" w:ascii="Verdana" w:hAnsi="Verdana" w:eastAsia="宋体" w:cs="宋体"/>
          <w:color w:val="000000"/>
          <w:kern w:val="0"/>
          <w:sz w:val="18"/>
          <w:szCs w:val="18"/>
          <w:lang w:val="en-US" w:eastAsia="zh-CN"/>
        </w:rPr>
        <w:t>层</w:t>
      </w:r>
      <w:r>
        <w:rPr>
          <w:rFonts w:ascii="Verdana" w:hAnsi="Verdana" w:eastAsia="宋体" w:cs="宋体"/>
          <w:color w:val="000000"/>
          <w:kern w:val="0"/>
          <w:sz w:val="18"/>
          <w:szCs w:val="18"/>
        </w:rPr>
        <w:t>、DW</w:t>
      </w:r>
      <w:r>
        <w:rPr>
          <w:rFonts w:hint="eastAsia" w:ascii="Verdana" w:hAnsi="Verdana" w:eastAsia="宋体" w:cs="宋体"/>
          <w:color w:val="000000"/>
          <w:kern w:val="0"/>
          <w:sz w:val="18"/>
          <w:szCs w:val="18"/>
          <w:lang w:val="en-US" w:eastAsia="zh-CN"/>
        </w:rPr>
        <w:t>层</w:t>
      </w:r>
      <w:r>
        <w:rPr>
          <w:rFonts w:ascii="Verdana" w:hAnsi="Verdana" w:eastAsia="宋体" w:cs="宋体"/>
          <w:color w:val="000000"/>
          <w:kern w:val="0"/>
          <w:sz w:val="18"/>
          <w:szCs w:val="18"/>
        </w:rPr>
        <w:t>，MID信息模型、DM</w:t>
      </w:r>
      <w:r>
        <w:rPr>
          <w:rFonts w:hint="eastAsia" w:ascii="Verdana" w:hAnsi="Verdana" w:eastAsia="宋体" w:cs="宋体"/>
          <w:color w:val="000000"/>
          <w:kern w:val="0"/>
          <w:sz w:val="18"/>
          <w:szCs w:val="18"/>
          <w:lang w:val="en-US" w:eastAsia="zh-CN"/>
        </w:rPr>
        <w:t>层</w:t>
      </w:r>
      <w:r>
        <w:rPr>
          <w:rFonts w:ascii="Verdana" w:hAnsi="Verdana" w:eastAsia="宋体" w:cs="宋体"/>
          <w:color w:val="000000"/>
          <w:kern w:val="0"/>
          <w:sz w:val="18"/>
          <w:szCs w:val="18"/>
        </w:rPr>
        <w:t>、元数据。</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在各个信息模型中存储的内容如下描述：</w:t>
      </w:r>
    </w:p>
    <w:p>
      <w:pPr>
        <w:widowControl/>
        <w:shd w:val="clear" w:color="auto" w:fill="FFFFFF"/>
        <w:spacing w:before="150" w:after="150"/>
        <w:jc w:val="left"/>
        <w:rPr>
          <w:rFonts w:ascii="Verdana" w:hAnsi="Verdana" w:eastAsia="宋体" w:cs="宋体"/>
          <w:color w:val="000000"/>
          <w:kern w:val="0"/>
          <w:sz w:val="18"/>
          <w:szCs w:val="18"/>
        </w:rPr>
      </w:pPr>
    </w:p>
    <w:p>
      <w:pPr>
        <w:widowControl/>
        <w:shd w:val="clear" w:color="auto" w:fill="FFFFFF"/>
        <w:spacing w:before="150" w:after="150"/>
        <w:jc w:val="left"/>
        <w:rPr>
          <w:rFonts w:ascii="Verdana" w:hAnsi="Verdana" w:eastAsia="宋体" w:cs="宋体"/>
          <w:color w:val="000000"/>
          <w:kern w:val="0"/>
          <w:sz w:val="18"/>
          <w:szCs w:val="18"/>
        </w:rPr>
      </w:pP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1)        </w:t>
      </w:r>
      <w:r>
        <w:rPr>
          <w:rFonts w:ascii="Verdana" w:hAnsi="Verdana" w:eastAsia="宋体" w:cs="宋体"/>
          <w:b/>
          <w:bCs/>
          <w:color w:val="000000"/>
          <w:kern w:val="0"/>
          <w:sz w:val="18"/>
          <w:szCs w:val="18"/>
        </w:rPr>
        <w:t>SRC接口层信息模型：</w:t>
      </w:r>
      <w:r>
        <w:rPr>
          <w:rFonts w:ascii="Verdana" w:hAnsi="Verdana" w:eastAsia="宋体" w:cs="宋体"/>
          <w:color w:val="000000"/>
          <w:kern w:val="0"/>
          <w:sz w:val="18"/>
          <w:szCs w:val="18"/>
        </w:rPr>
        <w:t>提供业务系统数据文件的临时存储，数据稽核，数据质量保证，屏蔽对业务系统的干扰，对于主动数据采集方式，以文件的方式描述系统与各个专业子系统之间数据接口的内容、格式等信息。与该模型对应的数据是各个专业系统按照该模型的定义传送来的数据文件。</w:t>
      </w:r>
      <w:r>
        <w:rPr>
          <w:rFonts w:ascii="Verdana" w:hAnsi="Verdana" w:eastAsia="宋体" w:cs="宋体"/>
          <w:b/>
          <w:bCs/>
          <w:color w:val="000000"/>
          <w:kern w:val="0"/>
          <w:sz w:val="18"/>
          <w:szCs w:val="18"/>
        </w:rPr>
        <w:t>STAGE</w:t>
      </w:r>
      <w:r>
        <w:rPr>
          <w:rFonts w:ascii="Verdana" w:hAnsi="Verdana" w:eastAsia="宋体" w:cs="宋体"/>
          <w:color w:val="000000"/>
          <w:kern w:val="0"/>
          <w:sz w:val="18"/>
          <w:szCs w:val="18"/>
        </w:rPr>
        <w:t> 是生产系统数据源的直接拷贝，由ETL过程对数据源进行直接抽取，在格式和数据定义上不作任何改变。与生产系统数据的唯一不同是，</w:t>
      </w:r>
      <w:r>
        <w:rPr>
          <w:rFonts w:ascii="Verdana" w:hAnsi="Verdana" w:eastAsia="宋体" w:cs="宋体"/>
          <w:b/>
          <w:bCs/>
          <w:color w:val="000000"/>
          <w:kern w:val="0"/>
          <w:sz w:val="18"/>
          <w:szCs w:val="18"/>
        </w:rPr>
        <w:t>STAGE</w:t>
      </w:r>
      <w:r>
        <w:rPr>
          <w:rFonts w:ascii="Verdana" w:hAnsi="Verdana" w:eastAsia="宋体" w:cs="宋体"/>
          <w:color w:val="000000"/>
          <w:kern w:val="0"/>
          <w:sz w:val="18"/>
          <w:szCs w:val="18"/>
        </w:rPr>
        <w:t>层数据具有时间戳。</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    STAGE</w:t>
      </w:r>
      <w:r>
        <w:rPr>
          <w:rFonts w:ascii="Verdana" w:hAnsi="Verdana" w:eastAsia="宋体" w:cs="宋体"/>
          <w:color w:val="000000"/>
          <w:kern w:val="0"/>
          <w:sz w:val="18"/>
          <w:szCs w:val="18"/>
        </w:rPr>
        <w:t>层存在的意义在于两点：</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（1） 对数据源作统一的一次性获取，数据仓库中其他部分都依赖于</w:t>
      </w:r>
      <w:r>
        <w:rPr>
          <w:rFonts w:ascii="Verdana" w:hAnsi="Verdana" w:eastAsia="宋体" w:cs="宋体"/>
          <w:b/>
          <w:bCs/>
          <w:color w:val="000000"/>
          <w:kern w:val="0"/>
          <w:sz w:val="18"/>
          <w:szCs w:val="18"/>
        </w:rPr>
        <w:t>STAGE</w:t>
      </w:r>
      <w:r>
        <w:rPr>
          <w:rFonts w:ascii="Verdana" w:hAnsi="Verdana" w:eastAsia="宋体" w:cs="宋体"/>
          <w:color w:val="000000"/>
          <w:kern w:val="0"/>
          <w:sz w:val="18"/>
          <w:szCs w:val="18"/>
        </w:rPr>
        <w:t>层的数据，不再重复进行抽取，也不在生产系统上作运算，减小生产系统的压力；</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（2） 在生产系统数据已经刷新的情况下，保存一定量的生产系统的历史数据，以便在二次抽取过程中运算出错的情况下可以进行回溯。</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2)    </w:t>
      </w:r>
      <w:r>
        <w:rPr>
          <w:rFonts w:ascii="Verdana" w:hAnsi="Verdana" w:eastAsia="宋体" w:cs="宋体"/>
          <w:b/>
          <w:bCs/>
          <w:color w:val="000000"/>
          <w:kern w:val="0"/>
          <w:sz w:val="18"/>
          <w:szCs w:val="18"/>
        </w:rPr>
        <w:t>DW</w:t>
      </w:r>
      <w:r>
        <w:rPr>
          <w:rFonts w:hint="eastAsia" w:ascii="Verdana" w:hAnsi="Verdana" w:eastAsia="宋体" w:cs="宋体"/>
          <w:b/>
          <w:bCs/>
          <w:color w:val="000000"/>
          <w:kern w:val="0"/>
          <w:sz w:val="18"/>
          <w:szCs w:val="18"/>
          <w:lang w:eastAsia="zh-CN"/>
        </w:rPr>
        <w:t>（）</w:t>
      </w:r>
      <w:r>
        <w:rPr>
          <w:rFonts w:ascii="Verdana" w:hAnsi="Verdana" w:eastAsia="宋体" w:cs="宋体"/>
          <w:b/>
          <w:bCs/>
          <w:color w:val="000000"/>
          <w:kern w:val="0"/>
          <w:sz w:val="18"/>
          <w:szCs w:val="18"/>
        </w:rPr>
        <w:t>层</w:t>
      </w:r>
      <w:r>
        <w:rPr>
          <w:rFonts w:ascii="Verdana" w:hAnsi="Verdana" w:eastAsia="宋体" w:cs="宋体"/>
          <w:color w:val="000000"/>
          <w:kern w:val="0"/>
          <w:sz w:val="18"/>
          <w:szCs w:val="18"/>
        </w:rPr>
        <w:t>：DW层是数据仓库的细节数据层，是对STAGE层数据进行沉淀，减少了抽取的复杂性，同时</w:t>
      </w:r>
      <w:r>
        <w:rPr>
          <w:rFonts w:hint="eastAsia" w:ascii="Verdana" w:hAnsi="Verdana" w:eastAsia="宋体" w:cs="宋体"/>
          <w:color w:val="000000"/>
          <w:kern w:val="0"/>
          <w:sz w:val="18"/>
          <w:szCs w:val="18"/>
          <w:lang w:val="en-US" w:eastAsia="zh-CN"/>
        </w:rPr>
        <w:t>DW</w:t>
      </w:r>
      <w:r>
        <w:rPr>
          <w:rFonts w:ascii="Verdana" w:hAnsi="Verdana" w:eastAsia="宋体" w:cs="宋体"/>
          <w:color w:val="000000"/>
          <w:kern w:val="0"/>
          <w:sz w:val="18"/>
          <w:szCs w:val="18"/>
        </w:rPr>
        <w:t>的信息模型组织主要遵循企业业务事务处理的形式，将各个专业数据进行集中。为企业进行经营数据的分析，系统将数据按分析的主题的形式存放，跟STAGE层的粒度一致，属于分析的公共资源。</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3) </w:t>
      </w:r>
      <w:r>
        <w:rPr>
          <w:rFonts w:ascii="Verdana" w:hAnsi="Verdana" w:eastAsia="宋体" w:cs="宋体"/>
          <w:b/>
          <w:bCs/>
          <w:color w:val="000000"/>
          <w:kern w:val="0"/>
          <w:sz w:val="18"/>
          <w:szCs w:val="18"/>
        </w:rPr>
        <w:t>  MID </w:t>
      </w:r>
      <w:r>
        <w:rPr>
          <w:rFonts w:hint="eastAsia" w:ascii="Verdana" w:hAnsi="Verdana" w:eastAsia="宋体" w:cs="宋体"/>
          <w:b/>
          <w:bCs/>
          <w:color w:val="000000"/>
          <w:kern w:val="0"/>
          <w:sz w:val="18"/>
          <w:szCs w:val="18"/>
          <w:lang w:val="en-US" w:eastAsia="zh-CN"/>
        </w:rPr>
        <w:t>轻度汇总层</w:t>
      </w:r>
      <w:r>
        <w:rPr>
          <w:rFonts w:ascii="Verdana" w:hAnsi="Verdana" w:eastAsia="宋体" w:cs="宋体"/>
          <w:color w:val="000000"/>
          <w:kern w:val="0"/>
          <w:sz w:val="18"/>
          <w:szCs w:val="18"/>
        </w:rPr>
        <w:t>：轻度综合层是新模型增加的数据仓库中DWD层和DM层之间的一个过渡层次，是对DWD层的生产数据进行轻度综合和汇总统计。轻度综合层与DWD的主要区别在于二者的应用领域不同，DWD的数据来源于生产型系统，并为满足一些不可预见的需求而进行沉淀；轻度综合层则面向分析型应用进行细粒度的统计和沉淀。</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4)  </w:t>
      </w:r>
      <w:r>
        <w:rPr>
          <w:rFonts w:ascii="Verdana" w:hAnsi="Verdana" w:eastAsia="宋体" w:cs="宋体"/>
          <w:b/>
          <w:bCs/>
          <w:color w:val="000000"/>
          <w:kern w:val="0"/>
          <w:sz w:val="18"/>
          <w:szCs w:val="18"/>
        </w:rPr>
        <w:t> DM</w:t>
      </w:r>
      <w:r>
        <w:rPr>
          <w:rFonts w:hint="eastAsia" w:ascii="Verdana" w:hAnsi="Verdana" w:eastAsia="宋体" w:cs="宋体"/>
          <w:b/>
          <w:bCs/>
          <w:color w:val="000000"/>
          <w:kern w:val="0"/>
          <w:sz w:val="18"/>
          <w:szCs w:val="18"/>
          <w:lang w:val="en-US" w:eastAsia="zh-CN"/>
        </w:rPr>
        <w:t>数据集市层</w:t>
      </w:r>
      <w:r>
        <w:rPr>
          <w:rFonts w:ascii="Verdana" w:hAnsi="Verdana" w:eastAsia="宋体" w:cs="宋体"/>
          <w:color w:val="000000"/>
          <w:kern w:val="0"/>
          <w:sz w:val="18"/>
          <w:szCs w:val="18"/>
        </w:rPr>
        <w:t>：为专题经营分析服务，系统将数据按分析的专题组织成多维库表的形式存放，属于分析目标范畴的数据组织与汇总，属于分析的专有资源。其信息主要来源于DWD 和MID层汇总，反映实时的经营状况，时间维度为天。而历史经营状况的分析，时间维度一般为月，同时也具有季度、年这样的维度。</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5) </w:t>
      </w:r>
      <w:r>
        <w:rPr>
          <w:rFonts w:ascii="Verdana" w:hAnsi="Verdana" w:eastAsia="宋体" w:cs="宋体"/>
          <w:b/>
          <w:bCs/>
          <w:color w:val="000000"/>
          <w:kern w:val="0"/>
          <w:sz w:val="18"/>
          <w:szCs w:val="18"/>
        </w:rPr>
        <w:t> MDW元数据信息模型：</w:t>
      </w:r>
      <w:r>
        <w:rPr>
          <w:rFonts w:ascii="Verdana" w:hAnsi="Verdana" w:eastAsia="宋体" w:cs="宋体"/>
          <w:color w:val="000000"/>
          <w:kern w:val="0"/>
          <w:sz w:val="18"/>
          <w:szCs w:val="18"/>
        </w:rPr>
        <w:t>描述数据及其环境的数据，即是对数据资源的描述,是信息共享和交换的基础和前提，用于描述数据集的内容、质量、表示方式、空间参考、管理方式以及数据集的其他特征。一般来说,它有两方面的用途。首先,元数据能提供基于用户的信息,如记录数据项的业务描述信息的元数据能帮助用户使用数据。其次,元数据能支持系统对数据的管理和维护, 元数据机制主要支持以下五类系统管理功能:</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（１）描述哪些数据在数据仓库中;</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（２）定义要进入数据仓库中的数据和从数据仓库中产生的数据;</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（３）记录根据业务事件发生而随之进行的数据抽取工作时间安排;</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（４）记录并检测系统数据一致性的要求和执行情况;</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（５）衡量数据质量。</w:t>
      </w:r>
    </w:p>
    <w:p>
      <w:pPr>
        <w:widowControl/>
        <w:shd w:val="clear" w:color="auto" w:fill="FFFFFF"/>
        <w:spacing w:before="150" w:after="150"/>
        <w:jc w:val="center"/>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1.2 各层物理表前缀</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在构建数据仓库时，至少应该具备以下物理几层：</w:t>
      </w:r>
    </w:p>
    <w:p>
      <w:pPr>
        <w:widowControl/>
        <w:shd w:val="clear" w:color="auto" w:fill="FFFFFF"/>
        <w:spacing w:before="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bl>
      <w:tblPr>
        <w:tblStyle w:val="8"/>
        <w:tblW w:w="7410" w:type="dxa"/>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3135"/>
        <w:gridCol w:w="2835"/>
        <w:gridCol w:w="14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联通数据模型规范要求的层次</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数据中心物理模型层次名称</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物理表前缀</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 </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维度数据层</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DIM_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数据集市层(DM)</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展示层</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DM_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主题域</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DW_F_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轻度汇总层(MID)</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轻度汇总层</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DW_M_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细节数据层（ODS/DWD）</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细节数据层</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DW_V_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接口层（STAGE）</w:t>
            </w:r>
          </w:p>
        </w:tc>
        <w:tc>
          <w:tcPr>
            <w:tcW w:w="22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接口层</w:t>
            </w:r>
          </w:p>
        </w:tc>
        <w:tc>
          <w:tcPr>
            <w:tcW w:w="115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SRC_</w:t>
            </w:r>
          </w:p>
        </w:tc>
      </w:tr>
    </w:tbl>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1.3数据库对象命名规范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所有数据库对象名称均使用26个大写英文字母、下划线或数字来命名，并不得以下划线开头。</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1.3.1 用户</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用户名和表空间的名称应该采用同系统应用相似的英文字符或字符缩写，表空间所对应的一个或多个物理文件名也应有相关性。用户创建的数据索引最好和数据文件分开存放在不同表空间，以减少数据争用和提高响应速度。</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以上从逻辑上分出的各数据层应当在数据库中用户实现其分离，规定如下：</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bl>
      <w:tblPr>
        <w:tblStyle w:val="8"/>
        <w:tblW w:w="705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2263"/>
        <w:gridCol w:w="1543"/>
        <w:gridCol w:w="1686"/>
        <w:gridCol w:w="155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数据层名称</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用户</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物理表</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备注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接口层</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SRC</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SRC</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沉淀数据层</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DW_V,DW_M,DW_F</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数据集市层</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DM</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DM_</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元数据层</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MDW</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MDW_</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目前未设计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维度数据层</w:t>
            </w:r>
          </w:p>
        </w:tc>
        <w:tc>
          <w:tcPr>
            <w:tcW w:w="12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w:t>
            </w:r>
          </w:p>
        </w:tc>
        <w:tc>
          <w:tcPr>
            <w:tcW w:w="134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DIM_</w:t>
            </w:r>
          </w:p>
        </w:tc>
        <w:tc>
          <w:tcPr>
            <w:tcW w:w="12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bl>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1.3.2 数据库表空间</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数据库表空间命名，原则上以数据仓库的基本分层结构为准，以TBS_作前缀，为避免单个表空间数据量过大，带来管理上的不便或者引起I/O瓶颈，对于STAG和ODS/DWD数据量比较大的层，可采用多个表空间存储数据，单表空间容量不要太大，以便于业务划分和存储管理为原则，建议单表空间容量控制在800G之内，表空间数据文件建议值为4G。</w:t>
      </w:r>
    </w:p>
    <w:p>
      <w:pPr>
        <w:widowControl/>
        <w:numPr>
          <w:ilvl w:val="0"/>
          <w:numId w:val="1"/>
        </w:numPr>
        <w:shd w:val="clear" w:color="auto" w:fill="FFFFFF"/>
        <w:spacing w:before="100" w:beforeAutospacing="1" w:after="100" w:afterAutospacing="1"/>
        <w:ind w:left="4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数据表空间</w:t>
      </w:r>
    </w:p>
    <w:tbl>
      <w:tblPr>
        <w:tblStyle w:val="8"/>
        <w:tblW w:w="766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2085"/>
        <w:gridCol w:w="675"/>
        <w:gridCol w:w="1845"/>
        <w:gridCol w:w="306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数据仓库分层结构</w:t>
            </w:r>
          </w:p>
        </w:tc>
        <w:tc>
          <w:tcPr>
            <w:tcW w:w="5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用户</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表空间名</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数据文件/裸设备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STAG</w:t>
            </w:r>
          </w:p>
        </w:tc>
        <w:tc>
          <w:tcPr>
            <w:tcW w:w="5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SRC</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TBS_STAG001</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TBS_STAGXXX</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2G=&lt;单设备文件&lt;=8G,建议值：4G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DWD</w:t>
            </w:r>
          </w:p>
        </w:tc>
        <w:tc>
          <w:tcPr>
            <w:tcW w:w="540"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TBS_DWV001</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TBS_DWVXXX</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存放以dw_v开头的表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INDX_TBS_DMV</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存放以dw_v开头的表的索引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MID</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5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MID</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TBS_MID</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同上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DM</w:t>
            </w:r>
          </w:p>
        </w:tc>
        <w:tc>
          <w:tcPr>
            <w:tcW w:w="540"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DM</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TBS_DM</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同上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INDX_TBS_DM</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DM索引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6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w:t>
            </w:r>
          </w:p>
        </w:tc>
        <w:tc>
          <w:tcPr>
            <w:tcW w:w="5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w:t>
            </w:r>
          </w:p>
        </w:tc>
        <w:tc>
          <w:tcPr>
            <w:tcW w:w="147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TBS_DIM</w:t>
            </w:r>
          </w:p>
        </w:tc>
        <w:tc>
          <w:tcPr>
            <w:tcW w:w="244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同上</w:t>
            </w:r>
          </w:p>
        </w:tc>
      </w:tr>
    </w:tbl>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表名长度不能超过28个字符，表名中含有单词全部采用单数形式，单词选择能够概括表内容的一个或多个英文单词，多个单词间使用下划线分割,单词如果过长可以使用缩写形式。</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命名规则如下：</w:t>
      </w:r>
    </w:p>
    <w:p>
      <w:pPr>
        <w:widowControl/>
        <w:shd w:val="clear" w:color="auto" w:fill="FFFFFF"/>
        <w:spacing w:before="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bl>
      <w:tblPr>
        <w:tblStyle w:val="8"/>
        <w:tblW w:w="88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1803"/>
        <w:gridCol w:w="1578"/>
        <w:gridCol w:w="1713"/>
        <w:gridCol w:w="1457"/>
        <w:gridCol w:w="226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表的类型</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前缀</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层次</w:t>
            </w:r>
          </w:p>
        </w:tc>
        <w:tc>
          <w:tcPr>
            <w:tcW w:w="116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说明</w:t>
            </w: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示例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维度表</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DIM</w:t>
            </w:r>
          </w:p>
        </w:tc>
        <w:tc>
          <w:tcPr>
            <w:tcW w:w="116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DIM_+主键</w:t>
            </w: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客户视图</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DW_V_USER_</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DW_M_USER</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1164"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三个视图</w:t>
            </w: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产品视图</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DW_V_PROD_</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DW_M_PROD_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市场营销视图</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DW_V_MART_</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DW_M_MART_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发展域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DW_F_DEV_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1164"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8个主题域</w:t>
            </w: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根据业务具体分为：</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移动业务DW_F_DEV_M_</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智能网DW_F_DEV_I_</w:t>
            </w:r>
          </w:p>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数固DW_F_DEV_D_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收入域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DW_F_INCO_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同上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使用域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DW_F_USE_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同上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增值域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DW_F_INC_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成本域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DW_F_COST_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资源域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DW_F_RES_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竞争域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DW_F_COMP_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44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服务域</w:t>
            </w:r>
          </w:p>
        </w:tc>
        <w:tc>
          <w:tcPr>
            <w:tcW w:w="126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DW_F_SERV_</w:t>
            </w:r>
          </w:p>
        </w:tc>
        <w:tc>
          <w:tcPr>
            <w:tcW w:w="136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DW</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18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bl>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1.3.4 数据库分区表规范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对于海量数据表要考虑设计为分区表。</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三户日资料保存一个月，按日期主分区按地区子分区，</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主分区命名为：P两位日期编码(如P01)，</w:t>
      </w:r>
    </w:p>
    <w:p>
      <w:pPr>
        <w:widowControl/>
        <w:numPr>
          <w:ilvl w:val="0"/>
          <w:numId w:val="2"/>
        </w:numPr>
        <w:shd w:val="clear" w:color="auto" w:fill="FFFFFF"/>
        <w:spacing w:before="100" w:beforeAutospacing="1" w:after="100" w:afterAutospacing="1"/>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子分区命名为：P两位日期编码_SP地区编码(如 P01_SP188),并且必须加上月份字段否则没法区分是那月的资料。</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2.三户月资料按帐期主分区按地区子分区，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主分区命名为：P帐期编码(如P200701)，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子分区命名为：P帐期编码_SP地区编码(如 P200701_SP188)。</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3.视图级日数据表按帐期和地区主分区按日期子分区，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主分区命名为：P帐期编码_地区编码(如P200701_188)，</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子分区命名为：P帐期编码_地区编码_SP两位日期编码(如 P200701_188_SP01)。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4.视图级月数据表按帐期主分区按地区子分区，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主分区命名为：P帐期编码 (如P200701)，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子分区命名为：P帐期编码_SP地区编码(如 P200701_SP188)。</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5.主体域级数据按帐期主分区按日期子分区，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主分区格式为：P帐期(如 P200701)，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子分区格式为：P帐期_SP两位日期编码(如 P200701_SP01)。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老杨让把主题域建表分区规范改为：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主体域级数据按帐期和地区主分区按日期子分区，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主分区命名为：P帐期编码_地区编码(如P200701_188)，</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子分区命名为：P帐期编码_地区编码_SP两位日期编码(如 P200701_188_SP01)</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1.3.5 数据库表索引</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命名以IDX+表名+一位流水号.例：IDX_ODS_BUSI_USER_1;如果表名过长可以使用缩写形式</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1.3.6 数据库表键值</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主键命名以PK+表名+一位流水号(1~9).例: PK_DEPT_1 ;如果表名过长可以使用缩写形式</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外键命名以FK+表名+一位流水号(1~9).例: FK_DEPT_1;如果表名过长可以使用缩写形式</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1.3.7 数据库字段命名规范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数据库字段名中含有单词选择能够概括表内容的一个或多个英文单词，多个单词间使用下划线分割,单词如果过长可以使用缩写形式。</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一些基本字段名示例：</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用户id     USER_NO</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用户数      USER_COUNTS</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话单数      CDR_NUM</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通话时长    CALL_DURATION</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计费次数    MOBILE_TIMES</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每个字段必须有注释，并且在生成SQL脚本时一并生成，创建表时必须创建注释。</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保持字段名和类型的一致性，同一字段名在不同表中必需保持同一数据类型。数据类型长度在定义时应稍大于目前标准的长度，用空间来换取将来变更带来的不便。</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1.3.8 数据库存储过程规范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（1）存储过程命名规则：P_目标表。</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（2）存储过程要求有注释，注释内容为：列出创建人，创建用途，创建时间。</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（3）存储过程日志规范：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每一存储过程均应记录执行存储过程的日志信息。必须调用专用写日志的存储过程，同时有exception时的处理机制。</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（4）存储过程修改规范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修改时应注释清楚修改人，修改日期，修改原因和修改内容。</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1.3.9  数据库函数命名规范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函数命名规则F_功能，比如F_TRAN_AREA。</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1.3.10 据库触发器的命名规范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触发器以TR作为前缀，触发器名为相应的表的别名加上后缀，INSERT触发器加‘_INSERT’，Delete触发器加‘_DELETE’，Update触发器加‘_UPDATE’，如：TR_CUST_INSERT。</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1.3.11 序列命名规范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序列以S作为前缀，序列命名规则为S_字段别名。</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outlineLvl w:val="0"/>
        <w:rPr>
          <w:rFonts w:ascii="Verdana" w:hAnsi="Verdana" w:eastAsia="宋体" w:cs="宋体"/>
          <w:b/>
          <w:bCs/>
          <w:color w:val="000000"/>
          <w:kern w:val="36"/>
          <w:sz w:val="42"/>
          <w:szCs w:val="42"/>
        </w:rPr>
      </w:pPr>
      <w:r>
        <w:rPr>
          <w:rFonts w:ascii="Verdana" w:hAnsi="Verdana" w:eastAsia="宋体" w:cs="宋体"/>
          <w:b/>
          <w:bCs/>
          <w:color w:val="000000"/>
          <w:kern w:val="36"/>
          <w:sz w:val="42"/>
          <w:szCs w:val="42"/>
        </w:rPr>
        <w:t>二． 实施流程规范（完善中。。）</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(1)规划</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对实施计划的规划.</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(2)设计</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设计实施方案(包括统一模型的修改)。</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(3)实施</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具体实施过程。</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(4)测试</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对实施结果测试。</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(5)反馈</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对实施过程中收集到的相关信息(系统需求、实施中遇到的问题和测试结果等)</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反馈到相关部门和人员。</w:t>
      </w:r>
    </w:p>
    <w:p>
      <w:pPr>
        <w:widowControl/>
        <w:shd w:val="clear" w:color="auto" w:fill="FFFFFF"/>
        <w:spacing w:before="150" w:after="150"/>
        <w:jc w:val="left"/>
        <w:outlineLvl w:val="0"/>
        <w:rPr>
          <w:rFonts w:ascii="Verdana" w:hAnsi="Verdana" w:eastAsia="宋体" w:cs="宋体"/>
          <w:b/>
          <w:bCs/>
          <w:color w:val="000000"/>
          <w:kern w:val="36"/>
          <w:sz w:val="42"/>
          <w:szCs w:val="42"/>
        </w:rPr>
      </w:pPr>
      <w:r>
        <w:rPr>
          <w:rFonts w:ascii="Verdana" w:hAnsi="Verdana" w:eastAsia="宋体" w:cs="宋体"/>
          <w:b/>
          <w:bCs/>
          <w:color w:val="000000"/>
          <w:kern w:val="36"/>
          <w:sz w:val="42"/>
          <w:szCs w:val="42"/>
        </w:rPr>
        <w:t>三． 数据库安全管理规范</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为了规范管理，做好经营分析数据仓库的安全管理工作，实现不同的责任人不同的层次，将用户权限尽可能的管理起来同时又不影响正常工作，需要对数据库进行安全管理。</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数据库安全管理从以下几个方面来进行：</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3.1.   用户组管理</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对用户进行分类，目前经营分析应用用户可以分为如下几部分</w:t>
      </w:r>
    </w:p>
    <w:p>
      <w:pPr>
        <w:widowControl/>
        <w:numPr>
          <w:ilvl w:val="0"/>
          <w:numId w:val="3"/>
        </w:numPr>
        <w:shd w:val="clear" w:color="auto" w:fill="FFFFFF"/>
        <w:spacing w:before="100" w:beforeAutospacing="1" w:after="100" w:afterAutospacing="1"/>
        <w:ind w:left="450"/>
        <w:jc w:val="left"/>
        <w:rPr>
          <w:rFonts w:ascii="Verdana" w:hAnsi="Verdana" w:eastAsia="宋体" w:cs="宋体"/>
          <w:color w:val="000000"/>
          <w:kern w:val="0"/>
          <w:sz w:val="18"/>
          <w:szCs w:val="18"/>
        </w:rPr>
      </w:pPr>
      <w:r>
        <w:rPr>
          <w:rFonts w:ascii="Verdana" w:hAnsi="Verdana" w:eastAsia="宋体" w:cs="宋体"/>
          <w:color w:val="000000"/>
          <w:kern w:val="0"/>
          <w:sz w:val="18"/>
          <w:szCs w:val="18"/>
        </w:rPr>
        <w:t>前台程序开发人员</w:t>
      </w:r>
    </w:p>
    <w:p>
      <w:pPr>
        <w:widowControl/>
        <w:numPr>
          <w:ilvl w:val="0"/>
          <w:numId w:val="3"/>
        </w:numPr>
        <w:shd w:val="clear" w:color="auto" w:fill="FFFFFF"/>
        <w:spacing w:before="100" w:beforeAutospacing="1" w:after="100" w:afterAutospacing="1"/>
        <w:ind w:left="450"/>
        <w:jc w:val="left"/>
        <w:rPr>
          <w:rFonts w:ascii="Verdana" w:hAnsi="Verdana" w:eastAsia="宋体" w:cs="宋体"/>
          <w:color w:val="000000"/>
          <w:kern w:val="0"/>
          <w:sz w:val="18"/>
          <w:szCs w:val="18"/>
        </w:rPr>
      </w:pPr>
      <w:r>
        <w:rPr>
          <w:rFonts w:ascii="Verdana" w:hAnsi="Verdana" w:eastAsia="宋体" w:cs="宋体"/>
          <w:color w:val="000000"/>
          <w:kern w:val="0"/>
          <w:sz w:val="18"/>
          <w:szCs w:val="18"/>
        </w:rPr>
        <w:t>数据库开发人员</w:t>
      </w:r>
    </w:p>
    <w:p>
      <w:pPr>
        <w:widowControl/>
        <w:numPr>
          <w:ilvl w:val="0"/>
          <w:numId w:val="3"/>
        </w:numPr>
        <w:shd w:val="clear" w:color="auto" w:fill="FFFFFF"/>
        <w:spacing w:before="100" w:beforeAutospacing="1" w:after="100" w:afterAutospacing="1"/>
        <w:ind w:left="450"/>
        <w:jc w:val="left"/>
        <w:rPr>
          <w:rFonts w:ascii="Verdana" w:hAnsi="Verdana" w:eastAsia="宋体" w:cs="宋体"/>
          <w:color w:val="000000"/>
          <w:kern w:val="0"/>
          <w:sz w:val="18"/>
          <w:szCs w:val="18"/>
        </w:rPr>
      </w:pPr>
      <w:r>
        <w:rPr>
          <w:rFonts w:ascii="Verdana" w:hAnsi="Verdana" w:eastAsia="宋体" w:cs="宋体"/>
          <w:color w:val="000000"/>
          <w:kern w:val="0"/>
          <w:sz w:val="18"/>
          <w:szCs w:val="18"/>
        </w:rPr>
        <w:t>数据库管理员</w:t>
      </w:r>
    </w:p>
    <w:p>
      <w:pPr>
        <w:widowControl/>
        <w:numPr>
          <w:ilvl w:val="0"/>
          <w:numId w:val="3"/>
        </w:numPr>
        <w:shd w:val="clear" w:color="auto" w:fill="FFFFFF"/>
        <w:spacing w:before="100" w:beforeAutospacing="1" w:after="100" w:afterAutospacing="1"/>
        <w:ind w:left="450"/>
        <w:jc w:val="left"/>
        <w:rPr>
          <w:rFonts w:ascii="Verdana" w:hAnsi="Verdana" w:eastAsia="宋体" w:cs="宋体"/>
          <w:color w:val="000000"/>
          <w:kern w:val="0"/>
          <w:sz w:val="18"/>
          <w:szCs w:val="18"/>
        </w:rPr>
      </w:pPr>
      <w:r>
        <w:rPr>
          <w:rFonts w:ascii="Verdana" w:hAnsi="Verdana" w:eastAsia="宋体" w:cs="宋体"/>
          <w:color w:val="000000"/>
          <w:kern w:val="0"/>
          <w:sz w:val="18"/>
          <w:szCs w:val="18"/>
        </w:rPr>
        <w:t>外部使用人员</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数据库管理人员由项目经理和数据经理来掌控，一般情况下不得使用DBA角色登陆数据库。</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数据人员使用数据库开发人员角色登陆，每个数据人员一个用户，归属数据库开发人员组。</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前台程序开发人员，由界面开发人员使用，可以查看所有的表，但是无法进行DDL操作。</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外部使用人员，主要是面向联通用户和临时用户   </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3.2.   用户权限设定</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对不同的用户组，在不影响正常工作的情况下，对用户组及用户权限的设定原则为权限越小越好。</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3.3.   用户密码管理</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对用户密码进行限制，必须由2位以上数字，2位以上字符，2位以上特殊字符组成</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不允许用户密码和用户名同名</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不允许用户密码和用户名相似</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3.4.   用户资源管理</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除了系统使用的用户（SRC/ODS/DW）等外</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对用户使用的系统资源进行限定</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限定用户使用表空间</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限定用户使用临时表空间</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限定用户使用回滚断</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限定用户使用内存</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3.5.   IP限定</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对于普通用户，实行IP和用户名绑定的策略</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对于外部开放用户，要进行IP申请，由数据经理或者项目经理审核通过后予以开通</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3.6.   数据库监控</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数据库监控，主要对以下几个方面进行监控：</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3.6.1.   数据库空间占用率</w:t>
      </w:r>
    </w:p>
    <w:p>
      <w:pPr>
        <w:widowControl/>
        <w:shd w:val="clear" w:color="auto" w:fill="FFFFFF"/>
        <w:spacing w:before="150" w:after="240"/>
        <w:jc w:val="left"/>
        <w:rPr>
          <w:rFonts w:ascii="Verdana" w:hAnsi="Verdana" w:eastAsia="宋体" w:cs="宋体"/>
          <w:color w:val="000000"/>
          <w:kern w:val="0"/>
          <w:sz w:val="18"/>
          <w:szCs w:val="18"/>
        </w:rPr>
      </w:pPr>
      <w:r>
        <w:rPr>
          <w:rFonts w:ascii="Verdana" w:hAnsi="Verdana" w:eastAsia="宋体" w:cs="宋体"/>
          <w:color w:val="000000"/>
          <w:kern w:val="0"/>
          <w:sz w:val="18"/>
          <w:szCs w:val="18"/>
        </w:rPr>
        <w:t>select a.tablespace_name,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free,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total,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round(((b.total-a.free)/b.total),2) 剩余占比</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from ( select tablespace_name,round(sum(bytes)/power(1024,3),2) free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from dba_free_space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group by tablespace_name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     a,</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 select tablespace_name,round(sum(bytes)/power(1024,3),2) total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from dba_data_files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group by tablespace_name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     b</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where a.tablespace_name = b.tablespace_name;</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3.6.2.     会话情况</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select *</w:t>
      </w:r>
      <w:r>
        <w:rPr>
          <w:rFonts w:ascii="Verdana" w:hAnsi="Verdana" w:eastAsia="宋体" w:cs="宋体"/>
          <w:b/>
          <w:bCs/>
          <w:color w:val="000000"/>
          <w:kern w:val="0"/>
          <w:sz w:val="18"/>
          <w:szCs w:val="18"/>
        </w:rPr>
        <w:br w:type="textWrapping"/>
      </w:r>
      <w:r>
        <w:rPr>
          <w:rFonts w:ascii="Verdana" w:hAnsi="Verdana" w:eastAsia="宋体" w:cs="宋体"/>
          <w:b/>
          <w:bCs/>
          <w:color w:val="000000"/>
          <w:kern w:val="0"/>
          <w:sz w:val="18"/>
          <w:szCs w:val="18"/>
        </w:rPr>
        <w:t>from v$session a,</w:t>
      </w:r>
      <w:r>
        <w:rPr>
          <w:rFonts w:ascii="Verdana" w:hAnsi="Verdana" w:eastAsia="宋体" w:cs="宋体"/>
          <w:b/>
          <w:bCs/>
          <w:color w:val="000000"/>
          <w:kern w:val="0"/>
          <w:sz w:val="18"/>
          <w:szCs w:val="18"/>
        </w:rPr>
        <w:br w:type="textWrapping"/>
      </w:r>
      <w:r>
        <w:rPr>
          <w:rFonts w:ascii="Verdana" w:hAnsi="Verdana" w:eastAsia="宋体" w:cs="宋体"/>
          <w:b/>
          <w:bCs/>
          <w:color w:val="000000"/>
          <w:kern w:val="0"/>
          <w:sz w:val="18"/>
          <w:szCs w:val="18"/>
        </w:rPr>
        <w:t>     v$sql     b</w:t>
      </w:r>
      <w:r>
        <w:rPr>
          <w:rFonts w:ascii="Verdana" w:hAnsi="Verdana" w:eastAsia="宋体" w:cs="宋体"/>
          <w:b/>
          <w:bCs/>
          <w:color w:val="000000"/>
          <w:kern w:val="0"/>
          <w:sz w:val="18"/>
          <w:szCs w:val="18"/>
        </w:rPr>
        <w:br w:type="textWrapping"/>
      </w:r>
      <w:r>
        <w:rPr>
          <w:rFonts w:ascii="Verdana" w:hAnsi="Verdana" w:eastAsia="宋体" w:cs="宋体"/>
          <w:b/>
          <w:bCs/>
          <w:color w:val="000000"/>
          <w:kern w:val="0"/>
          <w:sz w:val="18"/>
          <w:szCs w:val="18"/>
        </w:rPr>
        <w:t>where a.sql_address  = b.address;</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3.6.3.   aix操作系统中杀掉一些进程的脚本</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select 'kill -9 '|| p.spid||'',s.sid</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from v$session s,v$process p</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where s.paddr = p.addr</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and s.username is not null</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and s.sid = 54</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3.6.4.   查看JOB</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SELECT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FROM User_Jobs</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3.6.5.   分区操作</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查看分区子分区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SELECT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FROM ALL_TAB_PARTITIONS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WHERE TABLE_NAME = 'DW_V_USER_MOBILEUSER'；</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SELECT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FROM ALL_TAB_SUBPARTITIONS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WHERE TABLE_NAME = 'DW_V_USER_MOBILEUSER';</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增加分区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格式：alter table 表名 add partition分区名 values less than (值)</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  alter table dm_reinnet_user add partition p200801 values less than ('200802')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alter table dm_reinnet_user add subpartition p200801_SP001 values ('002')</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删除分区</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格式：alter table 表名 drop partition partition 分区名</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  alter table dm_reinnet_user drop partition 200801</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alter table dm_reinnet_user drop subpartition  p200801_SP001</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3.6.6.   数据库的无效索引</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查看目前数据库中的索引情况</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3.6.7.   数据库的无效对象</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查看目前数据库的对象有效性，主要针对脚本</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3.6.8.   数据库表分区的是否到达限额</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查看是否有表分区不满足需求的情况，这项监控根据具体需求来</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3.6.9.   数据库内存占用情况</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查看目前数据库内存的占用情况</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3.6.10.DDL语句的监控</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查看各种DDL语句的使用情况，记录操作者的IP，时间，用户名等情况</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3.6.11.特定DML语句的监控</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对某些特定的重要的数据库对象，记录DML操作的历史</w:t>
      </w:r>
    </w:p>
    <w:p>
      <w:pPr>
        <w:widowControl/>
        <w:shd w:val="clear" w:color="auto" w:fill="FFFFFF"/>
        <w:spacing w:before="150" w:after="150"/>
        <w:jc w:val="left"/>
        <w:outlineLvl w:val="1"/>
        <w:rPr>
          <w:rFonts w:ascii="Verdana" w:hAnsi="Verdana" w:eastAsia="宋体" w:cs="宋体"/>
          <w:b/>
          <w:bCs/>
          <w:color w:val="000000"/>
          <w:kern w:val="0"/>
          <w:sz w:val="32"/>
          <w:szCs w:val="32"/>
        </w:rPr>
      </w:pPr>
      <w:r>
        <w:rPr>
          <w:rFonts w:ascii="Verdana" w:hAnsi="Verdana" w:eastAsia="宋体" w:cs="宋体"/>
          <w:b/>
          <w:bCs/>
          <w:color w:val="000000"/>
          <w:kern w:val="0"/>
          <w:sz w:val="32"/>
          <w:szCs w:val="32"/>
        </w:rPr>
        <w:t>3.7.   数据库审计</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3.7.1.   语句审计(Statement Auditing)</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对预先指定的某些SQL语句进行审计。这里从SQL语句的角度出发，进行指定。</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审计只关心执行的语句。</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例如，audit CREATE TABLE;命令，就表明对"create table"语句的执行进行记录。</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不管这语句是否是针对某个对象的操作</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3.7.2.   权限审计(Privilege Auditing)</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对涉及某些权限的操作进行审计。这里强调"涉及权限"</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例如，audit CREATE TABLE;命令，又可以表明对涉及"CREATE TABLE"权限的操作进行审计,所以说，在这    种命令的情况下，既产生一个语句审计，又产生了一个权限审计。有时候"语句审计"和"权限审计"的相    互重复的。这一点可以后面证明。</w:t>
      </w:r>
    </w:p>
    <w:p>
      <w:pPr>
        <w:widowControl/>
        <w:shd w:val="clear" w:color="auto" w:fill="FFFFFF"/>
        <w:spacing w:before="150" w:after="150"/>
        <w:jc w:val="left"/>
        <w:outlineLvl w:val="2"/>
        <w:rPr>
          <w:rFonts w:ascii="Verdana" w:hAnsi="Verdana" w:eastAsia="宋体" w:cs="宋体"/>
          <w:b/>
          <w:bCs/>
          <w:color w:val="000000"/>
          <w:kern w:val="0"/>
          <w:sz w:val="24"/>
          <w:szCs w:val="24"/>
        </w:rPr>
      </w:pPr>
      <w:r>
        <w:rPr>
          <w:rFonts w:ascii="Verdana" w:hAnsi="Verdana" w:eastAsia="宋体" w:cs="宋体"/>
          <w:b/>
          <w:bCs/>
          <w:color w:val="000000"/>
          <w:kern w:val="0"/>
          <w:sz w:val="24"/>
          <w:szCs w:val="24"/>
        </w:rPr>
        <w:t>3.7.3.   对象审计(Object Auditing)</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记录作用在指定对象上的操作。</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四．管理说明</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b/>
          <w:bCs/>
          <w:color w:val="000000"/>
          <w:kern w:val="0"/>
          <w:sz w:val="18"/>
          <w:szCs w:val="18"/>
        </w:rPr>
        <w:t>4.1 关于数据模型和数据仓库的管理</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为了使数据仓库安全、层次清晰、版本的稳定以及和总部模型的一致，我们规定数据经理对数据仓库和数据模型全权负责，具体包括如下：</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1. 所有关于数据库结构的更改都要由数据经理完成，其中包括对控制文件、参数文件、日志文件、表空间等的修改。</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2. 删除原模型中的表、向模型中增加表或者向原有表中增加字段都要让数据经理知道、批准并且做好修改记录，修改后的模型以及修改记录要及时提交到总部的SVN服务器。修改记录参照：</w:t>
      </w:r>
    </w:p>
    <w:p>
      <w:pPr>
        <w:widowControl/>
        <w:shd w:val="clear" w:color="auto" w:fill="FFFFFF"/>
        <w:spacing w:before="150" w:after="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hd w:val="clear" w:color="auto" w:fill="FFFFFF"/>
        <w:spacing w:before="15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bl>
      <w:tblPr>
        <w:tblStyle w:val="8"/>
        <w:tblW w:w="904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1005"/>
        <w:gridCol w:w="3365"/>
        <w:gridCol w:w="3722"/>
        <w:gridCol w:w="417"/>
        <w:gridCol w:w="53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时间</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表名称</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更改说明</w:t>
            </w:r>
          </w:p>
        </w:tc>
        <w:tc>
          <w:tcPr>
            <w:tcW w:w="3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修改人</w:t>
            </w: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备注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2007-4-2</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DW_F_INCO_M_CHARGE_MONTH</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字段IS_GROUP的类型改为VARCHAR2(1)</w:t>
            </w:r>
          </w:p>
        </w:tc>
        <w:tc>
          <w:tcPr>
            <w:tcW w:w="336"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屈大虎</w:t>
            </w: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bottom"/>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DW_V_USER_CHARGE_DAY</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增加字段AREA_NO、CITY_NO、LONG_TIMES、FLUX、ACCT_MONTH</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bottom"/>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DW_F_DEV_M_ONNET_USER</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更改入网年度字段IINNET_YEAR为入网年月INNET_MONTH；</w:t>
            </w:r>
            <w:r>
              <w:rPr>
                <w:rFonts w:ascii="宋体" w:hAnsi="宋体" w:eastAsia="宋体" w:cs="宋体"/>
                <w:kern w:val="0"/>
                <w:sz w:val="18"/>
                <w:szCs w:val="18"/>
              </w:rPr>
              <w:br w:type="textWrapping"/>
            </w:r>
            <w:r>
              <w:rPr>
                <w:rFonts w:ascii="宋体" w:hAnsi="宋体" w:eastAsia="宋体" w:cs="宋体"/>
                <w:kern w:val="0"/>
                <w:sz w:val="18"/>
                <w:szCs w:val="18"/>
              </w:rPr>
              <w:t>  删除在网时长分档字段INNET_MONTH_LEVEL</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bottom"/>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DIM_USER_STATUS</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增加停机类型字段</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bottom"/>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DW_V_USER_SINGLE_CALL_MONTH</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更名为DW_M_USER_SINGLE_CALL_MONTH</w:t>
            </w:r>
            <w:r>
              <w:rPr>
                <w:rFonts w:ascii="宋体" w:hAnsi="宋体" w:eastAsia="宋体" w:cs="宋体"/>
                <w:kern w:val="0"/>
                <w:sz w:val="18"/>
                <w:szCs w:val="18"/>
              </w:rPr>
              <w:br w:type="textWrapping"/>
            </w:r>
            <w:r>
              <w:rPr>
                <w:rFonts w:ascii="宋体" w:hAnsi="宋体" w:eastAsia="宋体" w:cs="宋体"/>
                <w:kern w:val="0"/>
                <w:sz w:val="18"/>
                <w:szCs w:val="18"/>
              </w:rPr>
              <w:t>  增加一个免费标记字段IS_FREE</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bottom"/>
          </w:tcPr>
          <w:p>
            <w:pPr>
              <w:widowControl/>
              <w:spacing w:before="150" w:after="150"/>
              <w:jc w:val="center"/>
              <w:rPr>
                <w:rFonts w:ascii="宋体" w:hAnsi="宋体" w:eastAsia="宋体" w:cs="宋体"/>
                <w:kern w:val="0"/>
                <w:sz w:val="18"/>
                <w:szCs w:val="18"/>
              </w:rPr>
            </w:pPr>
            <w:r>
              <w:rPr>
                <w:rFonts w:ascii="宋体" w:hAnsi="宋体" w:eastAsia="宋体" w:cs="宋体"/>
                <w:b/>
                <w:bCs/>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2007-4-3</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DW_V_USER_CDR_NOMASTER</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增加一个无主详单表（河北需求）</w:t>
            </w:r>
          </w:p>
        </w:tc>
        <w:tc>
          <w:tcPr>
            <w:tcW w:w="336" w:type="dxa"/>
            <w:vMerge w:val="restart"/>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屈大虎</w:t>
            </w:r>
          </w:p>
        </w:tc>
        <w:tc>
          <w:tcPr>
            <w:tcW w:w="432" w:type="dxa"/>
            <w:vMerge w:val="restart"/>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DW_M_USER_NAR_STW_DAY</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增加一个神通王用户日窄表（河北需求）</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DW_M_USER_NAR_STW</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增加一个神通王用户月窄表（河北需求）</w:t>
            </w: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c>
          <w:tcPr>
            <w:tcW w:w="0" w:type="auto"/>
            <w:vMerge w:val="continue"/>
            <w:tcBorders>
              <w:top w:val="single" w:color="C0C0C0" w:sz="6" w:space="0"/>
              <w:left w:val="single" w:color="C0C0C0" w:sz="6" w:space="0"/>
              <w:bottom w:val="single" w:color="C0C0C0" w:sz="6" w:space="0"/>
              <w:right w:val="single" w:color="C0C0C0" w:sz="6" w:space="0"/>
            </w:tcBorders>
            <w:vAlign w:val="center"/>
          </w:tcPr>
          <w:p>
            <w:pPr>
              <w:widowControl/>
              <w:jc w:val="left"/>
              <w:rPr>
                <w:rFonts w:ascii="宋体" w:hAnsi="宋体" w:eastAsia="宋体" w:cs="宋体"/>
                <w:kern w:val="0"/>
                <w:sz w:val="18"/>
                <w:szCs w:val="18"/>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 </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 </w:t>
            </w: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center"/>
          </w:tcPr>
          <w:p>
            <w:pPr>
              <w:widowControl/>
              <w:spacing w:before="150" w:after="150"/>
              <w:jc w:val="center"/>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7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271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0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3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c>
          <w:tcPr>
            <w:tcW w:w="432" w:type="dxa"/>
            <w:tcBorders>
              <w:top w:val="single" w:color="C0C0C0" w:sz="6" w:space="0"/>
              <w:left w:val="single" w:color="C0C0C0" w:sz="6" w:space="0"/>
              <w:bottom w:val="single" w:color="C0C0C0" w:sz="6" w:space="0"/>
              <w:right w:val="single" w:color="C0C0C0" w:sz="6" w:space="0"/>
            </w:tcBorders>
            <w:noWrap/>
            <w:tcMar>
              <w:top w:w="45" w:type="dxa"/>
              <w:left w:w="45" w:type="dxa"/>
              <w:bottom w:w="45" w:type="dxa"/>
              <w:right w:w="45" w:type="dxa"/>
            </w:tcMar>
            <w:vAlign w:val="center"/>
          </w:tcPr>
          <w:p>
            <w:pPr>
              <w:widowControl/>
              <w:spacing w:before="150" w:after="150"/>
              <w:jc w:val="left"/>
              <w:rPr>
                <w:rFonts w:ascii="宋体" w:hAnsi="宋体" w:eastAsia="宋体" w:cs="宋体"/>
                <w:kern w:val="0"/>
                <w:sz w:val="18"/>
                <w:szCs w:val="18"/>
              </w:rPr>
            </w:pPr>
            <w:r>
              <w:rPr>
                <w:rFonts w:ascii="宋体" w:hAnsi="宋体" w:eastAsia="宋体" w:cs="宋体"/>
                <w:kern w:val="0"/>
                <w:sz w:val="18"/>
                <w:szCs w:val="18"/>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A14E4"/>
    <w:multiLevelType w:val="multilevel"/>
    <w:tmpl w:val="363A1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A125DFF"/>
    <w:multiLevelType w:val="multilevel"/>
    <w:tmpl w:val="7A125D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D94742E"/>
    <w:multiLevelType w:val="multilevel"/>
    <w:tmpl w:val="7D9474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76"/>
    <w:rsid w:val="00526562"/>
    <w:rsid w:val="00B26583"/>
    <w:rsid w:val="00B80876"/>
    <w:rsid w:val="00CC17CF"/>
    <w:rsid w:val="00E56C3D"/>
    <w:rsid w:val="00EF2925"/>
    <w:rsid w:val="1D1C417D"/>
    <w:rsid w:val="2AA225E2"/>
    <w:rsid w:val="307140B8"/>
    <w:rsid w:val="42F80290"/>
    <w:rsid w:val="44432E99"/>
    <w:rsid w:val="46F96582"/>
    <w:rsid w:val="4FB51B94"/>
    <w:rsid w:val="537F7817"/>
    <w:rsid w:val="72C6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customStyle="1" w:styleId="12">
    <w:name w:val="页眉 Char"/>
    <w:basedOn w:val="9"/>
    <w:link w:val="6"/>
    <w:uiPriority w:val="99"/>
    <w:rPr>
      <w:sz w:val="18"/>
      <w:szCs w:val="18"/>
    </w:rPr>
  </w:style>
  <w:style w:type="character" w:customStyle="1" w:styleId="13">
    <w:name w:val="页脚 Char"/>
    <w:basedOn w:val="9"/>
    <w:link w:val="5"/>
    <w:uiPriority w:val="99"/>
    <w:rPr>
      <w:sz w:val="18"/>
      <w:szCs w:val="18"/>
    </w:rPr>
  </w:style>
  <w:style w:type="character" w:customStyle="1" w:styleId="14">
    <w:name w:val="标题 1 Char"/>
    <w:basedOn w:val="9"/>
    <w:link w:val="2"/>
    <w:qFormat/>
    <w:uiPriority w:val="9"/>
    <w:rPr>
      <w:rFonts w:ascii="宋体" w:hAnsi="宋体" w:eastAsia="宋体" w:cs="宋体"/>
      <w:b/>
      <w:bCs/>
      <w:kern w:val="36"/>
      <w:sz w:val="48"/>
      <w:szCs w:val="48"/>
    </w:rPr>
  </w:style>
  <w:style w:type="character" w:customStyle="1" w:styleId="15">
    <w:name w:val="标题 2 Char"/>
    <w:basedOn w:val="9"/>
    <w:link w:val="3"/>
    <w:uiPriority w:val="9"/>
    <w:rPr>
      <w:rFonts w:ascii="宋体" w:hAnsi="宋体" w:eastAsia="宋体" w:cs="宋体"/>
      <w:b/>
      <w:bCs/>
      <w:kern w:val="0"/>
      <w:sz w:val="36"/>
      <w:szCs w:val="36"/>
    </w:rPr>
  </w:style>
  <w:style w:type="character" w:customStyle="1" w:styleId="16">
    <w:name w:val="标题 3 Char"/>
    <w:basedOn w:val="9"/>
    <w:link w:val="4"/>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1190</Words>
  <Characters>6785</Characters>
  <Lines>56</Lines>
  <Paragraphs>15</Paragraphs>
  <TotalTime>7</TotalTime>
  <ScaleCrop>false</ScaleCrop>
  <LinksUpToDate>false</LinksUpToDate>
  <CharactersWithSpaces>7960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2018-06-06T02:19:00Z</dcterms:created>
  <dc:creator>Pumi</dc:creator>
  <cp:lastModifiedBy>易</cp:lastModifiedBy>
  <dcterms:modified xsi:type="dcterms:W3CDTF">2020-02-23T12:29:55Z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