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color w:val="000000"/>
          <w:sz w:val="30"/>
        </w:rPr>
        <w:t>Classifying Reported Diabetes Status in the CCHS 2022: A Literature Review on Predictor Choice and Model Evaluation</w:t>
      </w:r>
    </w:p>
    <w:p>
      <w:pPr>
        <w:spacing w:after="0"/>
        <w:jc w:val="center"/>
      </w:pPr>
      <w:r>
        <w:rPr>
          <w:rFonts w:ascii="Times New Roman" w:hAnsi="Times New Roman"/>
          <w:b/>
          <w:i w:val="0"/>
          <w:color w:val="000000"/>
        </w:rPr>
        <w:t>Peeyusha Patki</w:t>
      </w:r>
    </w:p>
    <w:p>
      <w:pPr>
        <w:spacing w:after="0"/>
        <w:jc w:val="center"/>
      </w:pPr>
      <w:r>
        <w:rPr>
          <w:rFonts w:ascii="Times New Roman" w:hAnsi="Times New Roman"/>
          <w:b w:val="0"/>
          <w:i w:val="0"/>
          <w:color w:val="000000"/>
        </w:rPr>
        <w:t>B.Tech in Artificial Intelligence and Data Science</w:t>
      </w:r>
    </w:p>
    <w:p>
      <w:pPr>
        <w:spacing w:after="360"/>
        <w:jc w:val="center"/>
      </w:pPr>
      <w:r>
        <w:rPr>
          <w:rFonts w:ascii="Times New Roman" w:hAnsi="Times New Roman"/>
          <w:b w:val="0"/>
          <w:i w:val="0"/>
          <w:color w:val="000000"/>
        </w:rPr>
        <w:t>K J Somaiya Institute of Technology, Mumbai, India</w:t>
      </w:r>
    </w:p>
    <w:p>
      <w:pPr>
        <w:keepNext/>
        <w:spacing w:before="240" w:after="80"/>
      </w:pPr>
      <w:r>
        <w:rPr>
          <w:rFonts w:ascii="Times New Roman" w:hAnsi="Times New Roman"/>
          <w:b/>
          <w:i w:val="0"/>
          <w:color w:val="000000"/>
          <w:sz w:val="26"/>
        </w:rPr>
        <w:t>1. Introduction</w:t>
      </w:r>
    </w:p>
    <w:p>
      <w:pPr>
        <w:jc w:val="both"/>
      </w:pPr>
      <w:r>
        <w:rPr>
          <w:rFonts w:ascii="Times New Roman" w:hAnsi="Times New Roman"/>
          <w:b w:val="0"/>
          <w:i w:val="0"/>
          <w:color w:val="000000"/>
        </w:rPr>
        <w:t>The Canadian Community Health Survey (CCHS) is a cross-sectional survey run by Statistics Canada. It collects information on health status, use of health care services and health determinants for people aged 12 and older, and part of the data is released as a Public Use Microdata File (PUMF) [1]. The 2022 PUMF used in this project contains 67,079 respondents and 255 variables, and the outcome is CCC_05, self-reported diabetes status.</w:t>
      </w:r>
    </w:p>
    <w:p>
      <w:pPr>
        <w:jc w:val="both"/>
      </w:pPr>
      <w:r>
        <w:rPr>
          <w:rFonts w:ascii="Times New Roman" w:hAnsi="Times New Roman"/>
          <w:b w:val="0"/>
          <w:i w:val="0"/>
          <w:color w:val="000000"/>
        </w:rPr>
        <w:t>This project asks how the choice of information given to a model affects how well it can classify which respondents report having diabetes, and how that effect compares with the effect of changing the model itself. This review looks at published diabetes prediction models and the predictors they use, Canadian population-level work, the evidence behind individual predictors, and methodological issues that come up when machine learning is applied to survey data. It also explains how this literature guided the feature conditions tested in the project.</w:t>
      </w:r>
    </w:p>
    <w:p>
      <w:pPr>
        <w:keepNext/>
        <w:spacing w:before="240" w:after="80"/>
      </w:pPr>
      <w:r>
        <w:rPr>
          <w:rFonts w:ascii="Times New Roman" w:hAnsi="Times New Roman"/>
          <w:b/>
          <w:i w:val="0"/>
          <w:color w:val="000000"/>
          <w:sz w:val="26"/>
        </w:rPr>
        <w:t>2. Diabetes Prediction Models and Their Predictors</w:t>
      </w:r>
    </w:p>
    <w:p>
      <w:pPr>
        <w:jc w:val="both"/>
      </w:pPr>
      <w:r>
        <w:rPr>
          <w:rFonts w:ascii="Times New Roman" w:hAnsi="Times New Roman"/>
          <w:b w:val="0"/>
          <w:i w:val="0"/>
          <w:color w:val="000000"/>
        </w:rPr>
        <w:t>Many risk models for type 2 diabetes have been published. Noble et al. [2] reviewed published risk models and scores, combining quantitative and qualitative methods to judge how they could be selected and used in practice. Collins et al. [3] reviewed how these models were developed and reported. They found that the most commonly used predictors were age, family history of diabetes, body mass index (BMI), hypertension, waist circumference and sex, and they also found frequent weaknesses in how models were built and described, such as the handling of missing data. Asgari et al. [4] reviewed models for undiagnosed and future type 2 diabetes in the general population using the TRIPOD and PROBAST frameworks, and again age and BMI were among the most frequently reported predictors.</w:t>
      </w:r>
    </w:p>
    <w:p>
      <w:pPr>
        <w:jc w:val="both"/>
      </w:pPr>
      <w:r>
        <w:rPr>
          <w:rFonts w:ascii="Times New Roman" w:hAnsi="Times New Roman"/>
          <w:b w:val="0"/>
          <w:i w:val="0"/>
          <w:color w:val="000000"/>
        </w:rPr>
        <w:t>Machine learning has also been applied to this problem. De Silva et al. [5] carried out a systematic review and meta-analysis of machine learning models for type 2 diabetes prediction in community settings. The pooled C-index was 0.825 for neural networks and 0.815 for logistic regression, which means the simpler model performed almost as well. The authors also noted that the lack of external validation was a barrier to using these models in practice. This finding is directly relevant to the present project, which compares logistic regression with tree-based models on the same features.</w:t>
      </w:r>
    </w:p>
    <w:p>
      <w:pPr>
        <w:keepNext/>
        <w:spacing w:before="240" w:after="80"/>
      </w:pPr>
      <w:r>
        <w:rPr>
          <w:rFonts w:ascii="Times New Roman" w:hAnsi="Times New Roman"/>
          <w:b/>
          <w:i w:val="0"/>
          <w:color w:val="000000"/>
          <w:sz w:val="26"/>
        </w:rPr>
        <w:t>3. Canadian Population-Level Work</w:t>
      </w:r>
    </w:p>
    <w:p>
      <w:pPr>
        <w:jc w:val="both"/>
      </w:pPr>
      <w:r>
        <w:rPr>
          <w:rFonts w:ascii="Times New Roman" w:hAnsi="Times New Roman"/>
          <w:b w:val="0"/>
          <w:i w:val="0"/>
          <w:color w:val="000000"/>
        </w:rPr>
        <w:t>The most important Canadian comparison is the Diabetes Population Risk Tool (DPoRT) developed by Rosella et al. [6]. DPoRT was built from Canadian health survey responses linked to a population-based diabetes registry, and it predicts the risk of developing diabetes over nine years. Its sex-specific models use predictors such as BMI, age, ethnicity, hypertension, immigrant status, smoking, education and heart disease. DPoRT is useful for this project because it shows that routinely collected survey variables can support diabetes prediction in the Canadian population.</w:t>
      </w:r>
    </w:p>
    <w:p>
      <w:pPr>
        <w:jc w:val="both"/>
      </w:pPr>
      <w:r>
        <w:rPr>
          <w:rFonts w:ascii="Times New Roman" w:hAnsi="Times New Roman"/>
          <w:b w:val="0"/>
          <w:i w:val="0"/>
          <w:color w:val="000000"/>
        </w:rPr>
        <w:t>Later Canadian work has focused on social differences in diabetes risk. Lu, Kornas and Rosella [7] used a validated population risk algorithm to model diabetes risk in Canadian population groups defined by socioeconomic and lifestyle characteristics, and found clear inequities between groups. Earlier, Dinca-Panaitescu et al. [8] used CCHS data and found that the prevalence of type 2 diabetes in the lowest income group was 4.14 times higher than in the highest income group. These studies support the use of income and education as predictors in a Canadian survey setting, although an association with diabetes does not guarantee that a variable will improve a classifier once stronger predictors are already included.</w:t>
      </w:r>
    </w:p>
    <w:p>
      <w:pPr>
        <w:keepNext/>
        <w:spacing w:before="240" w:after="80"/>
      </w:pPr>
      <w:r>
        <w:rPr>
          <w:rFonts w:ascii="Times New Roman" w:hAnsi="Times New Roman"/>
          <w:b/>
          <w:i w:val="0"/>
          <w:color w:val="000000"/>
          <w:sz w:val="26"/>
        </w:rPr>
        <w:t>4. Evidence on Individual Predictors</w:t>
      </w:r>
    </w:p>
    <w:p>
      <w:pPr>
        <w:jc w:val="both"/>
      </w:pPr>
      <w:r>
        <w:rPr>
          <w:rFonts w:ascii="Times New Roman" w:hAnsi="Times New Roman"/>
          <w:b/>
          <w:i w:val="0"/>
          <w:color w:val="000000"/>
        </w:rPr>
        <w:t xml:space="preserve">Age and BMI. </w:t>
      </w:r>
      <w:r>
        <w:rPr>
          <w:rFonts w:ascii="Times New Roman" w:hAnsi="Times New Roman"/>
          <w:b w:val="0"/>
          <w:i w:val="0"/>
          <w:color w:val="000000"/>
        </w:rPr>
        <w:t>Age and BMI have the strongest support in the prediction literature [3], [4], [6]. In the CCHS, BMI is recorded with one classification for adults and a different one for respondents aged 12 to 17, so the project combined the two into a single harmonised BMI class.</w:t>
      </w:r>
    </w:p>
    <w:p>
      <w:pPr>
        <w:jc w:val="both"/>
      </w:pPr>
      <w:r>
        <w:rPr>
          <w:rFonts w:ascii="Times New Roman" w:hAnsi="Times New Roman"/>
          <w:b/>
          <w:i w:val="0"/>
          <w:color w:val="000000"/>
        </w:rPr>
        <w:t xml:space="preserve">Hypertension and cholesterol. </w:t>
      </w:r>
      <w:r>
        <w:rPr>
          <w:rFonts w:ascii="Times New Roman" w:hAnsi="Times New Roman"/>
          <w:b w:val="0"/>
          <w:i w:val="0"/>
          <w:color w:val="000000"/>
        </w:rPr>
        <w:t>Hypertension is one of the most common predictors in published models [3] and is part of DPoRT [6]. Reported high cholesterol is a related cardiometabolic condition that is recorded in the CCHS. Both were tested as additions to the compact core set in this project.</w:t>
      </w:r>
    </w:p>
    <w:p>
      <w:pPr>
        <w:jc w:val="both"/>
      </w:pPr>
      <w:r>
        <w:rPr>
          <w:rFonts w:ascii="Times New Roman" w:hAnsi="Times New Roman"/>
          <w:b/>
          <w:i w:val="0"/>
          <w:color w:val="000000"/>
        </w:rPr>
        <w:t xml:space="preserve">Smoking and physical activity. </w:t>
      </w:r>
      <w:r>
        <w:rPr>
          <w:rFonts w:ascii="Times New Roman" w:hAnsi="Times New Roman"/>
          <w:b w:val="0"/>
          <w:i w:val="0"/>
          <w:color w:val="000000"/>
        </w:rPr>
        <w:t>A meta-analysis of 88 prospective studies by Pan et al. [9] found that current smokers had a 37% higher risk of type 2 diabetes than people who had never smoked. Aune et al. [10] found a dose-response relationship in which more physical activity was linked to lower risk of type 2 diabetes. In the CCHS, the relevant smoking and physical activity measures mainly apply to adults, so they were planned as separate adult-only conditions.</w:t>
      </w:r>
    </w:p>
    <w:p>
      <w:pPr>
        <w:jc w:val="both"/>
      </w:pPr>
      <w:r>
        <w:rPr>
          <w:rFonts w:ascii="Times New Roman" w:hAnsi="Times New Roman"/>
          <w:b/>
          <w:i w:val="0"/>
          <w:color w:val="000000"/>
        </w:rPr>
        <w:t xml:space="preserve">Alcohol and vaping. </w:t>
      </w:r>
      <w:r>
        <w:rPr>
          <w:rFonts w:ascii="Times New Roman" w:hAnsi="Times New Roman"/>
          <w:b w:val="0"/>
          <w:i w:val="0"/>
          <w:color w:val="000000"/>
        </w:rPr>
        <w:t>Baliunas et al. [11] found a U-shaped relationship between alcohol intake and type 2 diabetes, which means a simple drinker-type category is a weak way to represent alcohol use. For e-cigarettes, Adebisi et al. [12] found no evidence that exclusive e-cigarette use was associated with diabetes, while people who used both cigarettes and e-cigarettes showed a modest association. For these reasons, alcohol type and ever having tried vaping were not included in the compact core.</w:t>
      </w:r>
    </w:p>
    <w:p>
      <w:pPr>
        <w:jc w:val="both"/>
      </w:pPr>
      <w:r>
        <w:rPr>
          <w:rFonts w:ascii="Times New Roman" w:hAnsi="Times New Roman"/>
          <w:b/>
          <w:i w:val="0"/>
          <w:color w:val="000000"/>
        </w:rPr>
        <w:t xml:space="preserve">Psychosocial factors. </w:t>
      </w:r>
      <w:r>
        <w:rPr>
          <w:rFonts w:ascii="Times New Roman" w:hAnsi="Times New Roman"/>
          <w:b w:val="0"/>
          <w:i w:val="0"/>
          <w:color w:val="000000"/>
        </w:rPr>
        <w:t>Yu et al. [13] found that people with depression had a higher risk of developing diabetes, with a pooled relative risk of 1.41. In a cross-sectional survey, however, low mood or low life satisfaction may also be a result of living with diabetes, so such variables were not treated as core predictors.</w:t>
      </w:r>
    </w:p>
    <w:p>
      <w:pPr>
        <w:keepNext/>
        <w:spacing w:before="240" w:after="80"/>
      </w:pPr>
      <w:r>
        <w:rPr>
          <w:rFonts w:ascii="Times New Roman" w:hAnsi="Times New Roman"/>
          <w:b/>
          <w:i w:val="0"/>
          <w:color w:val="000000"/>
          <w:sz w:val="26"/>
        </w:rPr>
        <w:t>5. Methodological Issues</w:t>
      </w:r>
    </w:p>
    <w:p>
      <w:pPr>
        <w:keepNext/>
        <w:spacing w:before="160" w:after="80"/>
      </w:pPr>
      <w:r>
        <w:rPr>
          <w:rFonts w:ascii="Times New Roman" w:hAnsi="Times New Roman"/>
          <w:b/>
          <w:i/>
          <w:color w:val="000000"/>
          <w:sz w:val="24"/>
        </w:rPr>
        <w:t>5.1 A cross-sectional outcome</w:t>
      </w:r>
    </w:p>
    <w:p>
      <w:pPr>
        <w:jc w:val="both"/>
      </w:pPr>
      <w:r>
        <w:rPr>
          <w:rFonts w:ascii="Times New Roman" w:hAnsi="Times New Roman"/>
          <w:b w:val="0"/>
          <w:i w:val="0"/>
          <w:color w:val="000000"/>
        </w:rPr>
        <w:t>Most of the prediction literature is about future type 2 diabetes [3], [4], [6]. The CCHS records a person's characteristics and their diabetes status at the same time, and CCC_05 covers reported diabetes in general rather than type 2 diabetes only. This project therefore classifies reported diabetes status and does not predict future risk. It also cannot show that any variable causes diabetes. For example, a person's BMI may have changed after diagnosis, so in this setting variables are described as features associated with reported diabetes, not as risk factors.</w:t>
      </w:r>
    </w:p>
    <w:p>
      <w:pPr>
        <w:keepNext/>
        <w:spacing w:before="160" w:after="80"/>
      </w:pPr>
      <w:r>
        <w:rPr>
          <w:rFonts w:ascii="Times New Roman" w:hAnsi="Times New Roman"/>
          <w:b/>
          <w:i/>
          <w:color w:val="000000"/>
          <w:sz w:val="24"/>
        </w:rPr>
        <w:t>5.2 Leakage and the diagnosis pathway</w:t>
      </w:r>
    </w:p>
    <w:p>
      <w:pPr>
        <w:jc w:val="both"/>
      </w:pPr>
      <w:r>
        <w:rPr>
          <w:rFonts w:ascii="Times New Roman" w:hAnsi="Times New Roman"/>
          <w:b w:val="0"/>
          <w:i w:val="0"/>
          <w:color w:val="000000"/>
        </w:rPr>
        <w:t>Kaufman et al. [14] describe leakage as information in the training data that would not be legitimately available for the prediction task. Variables about diabetes treatment or management were excluded because they follow from the outcome. Having a regular health care provider (RHC_05) was also held out, because diabetes has to be diagnosed by a health professional, so contact with the health system can affect whether diabetes is reported at all. A model using that variable might partly learn who has been diagnosed rather than who has diabetes.</w:t>
      </w:r>
    </w:p>
    <w:p>
      <w:pPr>
        <w:keepNext/>
        <w:spacing w:before="160" w:after="80"/>
      </w:pPr>
      <w:r>
        <w:rPr>
          <w:rFonts w:ascii="Times New Roman" w:hAnsi="Times New Roman"/>
          <w:b/>
          <w:i/>
          <w:color w:val="000000"/>
          <w:sz w:val="24"/>
        </w:rPr>
        <w:t>5.3 Survey weights</w:t>
      </w:r>
    </w:p>
    <w:p>
      <w:pPr>
        <w:jc w:val="both"/>
      </w:pPr>
      <w:r>
        <w:rPr>
          <w:rFonts w:ascii="Times New Roman" w:hAnsi="Times New Roman"/>
          <w:b w:val="0"/>
          <w:i w:val="0"/>
          <w:color w:val="000000"/>
        </w:rPr>
        <w:t>The CCHS uses a complex sampling design. Kim, Rogers and Wang [15] found that including or leaving out survey weights can change both the variables selected and the measured performance of machine learning models for chronic disease. In this project the sampling weight WTS_M was kept out of the features because it describes the survey design rather than the respondent. The weights were not applied in training or evaluation, so the results describe the survey sample and are not population estimates. This is a limitation of the project.</w:t>
      </w:r>
    </w:p>
    <w:p>
      <w:pPr>
        <w:keepNext/>
        <w:spacing w:before="160" w:after="80"/>
      </w:pPr>
      <w:r>
        <w:rPr>
          <w:rFonts w:ascii="Times New Roman" w:hAnsi="Times New Roman"/>
          <w:b/>
          <w:i/>
          <w:color w:val="000000"/>
          <w:sz w:val="24"/>
        </w:rPr>
        <w:t>5.4 Class imbalance, calibration and validation</w:t>
      </w:r>
    </w:p>
    <w:p>
      <w:pPr>
        <w:jc w:val="both"/>
      </w:pPr>
      <w:r>
        <w:rPr>
          <w:rFonts w:ascii="Times New Roman" w:hAnsi="Times New Roman"/>
          <w:b w:val="0"/>
          <w:i w:val="0"/>
          <w:color w:val="000000"/>
        </w:rPr>
        <w:t>About 9% of the modelling population reports diabetes, so accuracy alone is misleading. Saito and Rehmsmeier [16] show that precision-recall analysis is more informative than ROC analysis for imbalanced data, so PR-AUC is reported together with ROC-AUC, precision, recall and F1. Van Calster et al. [17] stress that calibration is often ignored in prediction studies, and the reviews in Section 2 point to weak validation as a common problem [4], [5]. In response, this project chose each classification threshold on a separate validation set, checked the stability of the model comparison with 5-fold cross-validation on the training data, and repeated the final comparison on a fresh holdout split. The models were built with scikit-learn [18].</w:t>
      </w:r>
    </w:p>
    <w:p>
      <w:pPr>
        <w:keepNext/>
        <w:spacing w:before="240" w:after="80"/>
      </w:pPr>
      <w:r>
        <w:rPr>
          <w:rFonts w:ascii="Times New Roman" w:hAnsi="Times New Roman"/>
          <w:b/>
          <w:i w:val="0"/>
          <w:color w:val="000000"/>
          <w:sz w:val="26"/>
        </w:rPr>
        <w:t>6. How the Literature Shaped the Feature Conditions</w:t>
      </w:r>
    </w:p>
    <w:p>
      <w:pPr>
        <w:jc w:val="both"/>
      </w:pPr>
      <w:r>
        <w:rPr>
          <w:rFonts w:ascii="Times New Roman" w:hAnsi="Times New Roman"/>
          <w:b w:val="0"/>
          <w:i w:val="0"/>
          <w:color w:val="000000"/>
        </w:rPr>
        <w:t>The literature was used to test and revise the feature sets rather than to justify a fixed list chosen in advance. Experiment C used a compact core of seven broadly applicable variables: age, sex, education, harmonised BMI class, household income, immigrant status and province. Condition D1 added reported high blood pressure (CCC_80), and D2 added reported high cholesterol (CCC_90). Smoking and physical activity were planned as adult-only conditions but were not completed, so they remain future work. Table 1 summarises how each predictor family was treated.</w:t>
      </w:r>
    </w:p>
    <w:p>
      <w:pPr>
        <w:keepNext/>
        <w:spacing w:before="160"/>
        <w:jc w:val="center"/>
      </w:pPr>
      <w:r>
        <w:rPr>
          <w:rFonts w:ascii="Times New Roman" w:hAnsi="Times New Roman"/>
          <w:b/>
          <w:i w:val="0"/>
          <w:color w:val="000000"/>
          <w:sz w:val="22"/>
        </w:rPr>
        <w:t>Table 1. Predictor families, supporting literature and their use in this project</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814"/>
          </w:tcPr>
          <w:p>
            <w:pPr>
              <w:spacing w:after="0" w:line="240" w:lineRule="auto"/>
            </w:pPr>
            <w:r>
              <w:rPr>
                <w:rFonts w:ascii="Times New Roman" w:hAnsi="Times New Roman"/>
                <w:b/>
                <w:i w:val="0"/>
                <w:color w:val="000000"/>
                <w:sz w:val="20"/>
              </w:rPr>
              <w:t>Predictor family</w:t>
            </w:r>
          </w:p>
        </w:tc>
        <w:tc>
          <w:tcPr>
            <w:tcW w:type="dxa" w:w="2608"/>
          </w:tcPr>
          <w:p>
            <w:pPr>
              <w:spacing w:after="0" w:line="240" w:lineRule="auto"/>
            </w:pPr>
            <w:r>
              <w:rPr>
                <w:rFonts w:ascii="Times New Roman" w:hAnsi="Times New Roman"/>
                <w:b/>
                <w:i w:val="0"/>
                <w:color w:val="000000"/>
                <w:sz w:val="20"/>
              </w:rPr>
              <w:t>Evidence in the literature</w:t>
            </w:r>
          </w:p>
        </w:tc>
        <w:tc>
          <w:tcPr>
            <w:tcW w:type="dxa" w:w="2268"/>
          </w:tcPr>
          <w:p>
            <w:pPr>
              <w:spacing w:after="0" w:line="240" w:lineRule="auto"/>
            </w:pPr>
            <w:r>
              <w:rPr>
                <w:rFonts w:ascii="Times New Roman" w:hAnsi="Times New Roman"/>
                <w:b/>
                <w:i w:val="0"/>
                <w:color w:val="000000"/>
                <w:sz w:val="20"/>
              </w:rPr>
              <w:t>CCHS 2022 variable</w:t>
            </w:r>
          </w:p>
        </w:tc>
        <w:tc>
          <w:tcPr>
            <w:tcW w:type="dxa" w:w="2324"/>
          </w:tcPr>
          <w:p>
            <w:pPr>
              <w:spacing w:after="0" w:line="240" w:lineRule="auto"/>
            </w:pPr>
            <w:r>
              <w:rPr>
                <w:rFonts w:ascii="Times New Roman" w:hAnsi="Times New Roman"/>
                <w:b/>
                <w:i w:val="0"/>
                <w:color w:val="000000"/>
                <w:sz w:val="20"/>
              </w:rPr>
              <w:t>Use in this project</w:t>
            </w:r>
          </w:p>
        </w:tc>
      </w:tr>
      <w:tr>
        <w:tc>
          <w:tcPr>
            <w:tcW w:type="dxa" w:w="1814"/>
          </w:tcPr>
          <w:p>
            <w:pPr>
              <w:spacing w:after="0" w:line="240" w:lineRule="auto"/>
            </w:pPr>
            <w:r>
              <w:rPr>
                <w:rFonts w:ascii="Times New Roman" w:hAnsi="Times New Roman"/>
                <w:b w:val="0"/>
                <w:i w:val="0"/>
                <w:color w:val="000000"/>
                <w:sz w:val="20"/>
              </w:rPr>
              <w:t>Age</w:t>
            </w:r>
          </w:p>
        </w:tc>
        <w:tc>
          <w:tcPr>
            <w:tcW w:type="dxa" w:w="2608"/>
          </w:tcPr>
          <w:p>
            <w:pPr>
              <w:spacing w:after="0" w:line="240" w:lineRule="auto"/>
            </w:pPr>
            <w:r>
              <w:rPr>
                <w:rFonts w:ascii="Times New Roman" w:hAnsi="Times New Roman"/>
                <w:b w:val="0"/>
                <w:i w:val="0"/>
                <w:color w:val="000000"/>
                <w:sz w:val="20"/>
              </w:rPr>
              <w:t>Among the most common predictors [3], [4]</w:t>
            </w:r>
          </w:p>
        </w:tc>
        <w:tc>
          <w:tcPr>
            <w:tcW w:type="dxa" w:w="2268"/>
          </w:tcPr>
          <w:p>
            <w:pPr>
              <w:spacing w:after="0" w:line="240" w:lineRule="auto"/>
            </w:pPr>
            <w:r>
              <w:rPr>
                <w:rFonts w:ascii="Times New Roman" w:hAnsi="Times New Roman"/>
                <w:b w:val="0"/>
                <w:i w:val="0"/>
                <w:color w:val="000000"/>
                <w:sz w:val="20"/>
              </w:rPr>
              <w:t>DHHGAGE</w:t>
            </w:r>
          </w:p>
        </w:tc>
        <w:tc>
          <w:tcPr>
            <w:tcW w:type="dxa" w:w="2324"/>
          </w:tcPr>
          <w:p>
            <w:pPr>
              <w:spacing w:after="0" w:line="240" w:lineRule="auto"/>
            </w:pPr>
            <w:r>
              <w:rPr>
                <w:rFonts w:ascii="Times New Roman" w:hAnsi="Times New Roman"/>
                <w:b w:val="0"/>
                <w:i w:val="0"/>
                <w:color w:val="000000"/>
                <w:sz w:val="20"/>
              </w:rPr>
              <w:t>Core (Experiment C onward)</w:t>
            </w:r>
          </w:p>
        </w:tc>
      </w:tr>
      <w:tr>
        <w:tc>
          <w:tcPr>
            <w:tcW w:type="dxa" w:w="1814"/>
          </w:tcPr>
          <w:p>
            <w:pPr>
              <w:spacing w:after="0" w:line="240" w:lineRule="auto"/>
            </w:pPr>
            <w:r>
              <w:rPr>
                <w:rFonts w:ascii="Times New Roman" w:hAnsi="Times New Roman"/>
                <w:b w:val="0"/>
                <w:i w:val="0"/>
                <w:color w:val="000000"/>
                <w:sz w:val="20"/>
              </w:rPr>
              <w:t>BMI</w:t>
            </w:r>
          </w:p>
        </w:tc>
        <w:tc>
          <w:tcPr>
            <w:tcW w:type="dxa" w:w="2608"/>
          </w:tcPr>
          <w:p>
            <w:pPr>
              <w:spacing w:after="0" w:line="240" w:lineRule="auto"/>
            </w:pPr>
            <w:r>
              <w:rPr>
                <w:rFonts w:ascii="Times New Roman" w:hAnsi="Times New Roman"/>
                <w:b w:val="0"/>
                <w:i w:val="0"/>
                <w:color w:val="000000"/>
                <w:sz w:val="20"/>
              </w:rPr>
              <w:t>Among the most common predictors [3], [4]</w:t>
            </w:r>
          </w:p>
        </w:tc>
        <w:tc>
          <w:tcPr>
            <w:tcW w:type="dxa" w:w="2268"/>
          </w:tcPr>
          <w:p>
            <w:pPr>
              <w:spacing w:after="0" w:line="240" w:lineRule="auto"/>
            </w:pPr>
            <w:r>
              <w:rPr>
                <w:rFonts w:ascii="Times New Roman" w:hAnsi="Times New Roman"/>
                <w:b w:val="0"/>
                <w:i w:val="0"/>
                <w:color w:val="000000"/>
                <w:sz w:val="20"/>
              </w:rPr>
              <w:t>BMI class built from HWTDGISW and HWTDGWHO</w:t>
            </w:r>
          </w:p>
        </w:tc>
        <w:tc>
          <w:tcPr>
            <w:tcW w:type="dxa" w:w="2324"/>
          </w:tcPr>
          <w:p>
            <w:pPr>
              <w:spacing w:after="0" w:line="240" w:lineRule="auto"/>
            </w:pPr>
            <w:r>
              <w:rPr>
                <w:rFonts w:ascii="Times New Roman" w:hAnsi="Times New Roman"/>
                <w:b w:val="0"/>
                <w:i w:val="0"/>
                <w:color w:val="000000"/>
                <w:sz w:val="20"/>
              </w:rPr>
              <w:t>Core (Experiment C onward)</w:t>
            </w:r>
          </w:p>
        </w:tc>
      </w:tr>
      <w:tr>
        <w:tc>
          <w:tcPr>
            <w:tcW w:type="dxa" w:w="1814"/>
          </w:tcPr>
          <w:p>
            <w:pPr>
              <w:spacing w:after="0" w:line="240" w:lineRule="auto"/>
            </w:pPr>
            <w:r>
              <w:rPr>
                <w:rFonts w:ascii="Times New Roman" w:hAnsi="Times New Roman"/>
                <w:b w:val="0"/>
                <w:i w:val="0"/>
                <w:color w:val="000000"/>
                <w:sz w:val="20"/>
              </w:rPr>
              <w:t>Sex</w:t>
            </w:r>
          </w:p>
        </w:tc>
        <w:tc>
          <w:tcPr>
            <w:tcW w:type="dxa" w:w="2608"/>
          </w:tcPr>
          <w:p>
            <w:pPr>
              <w:spacing w:after="0" w:line="240" w:lineRule="auto"/>
            </w:pPr>
            <w:r>
              <w:rPr>
                <w:rFonts w:ascii="Times New Roman" w:hAnsi="Times New Roman"/>
                <w:b w:val="0"/>
                <w:i w:val="0"/>
                <w:color w:val="000000"/>
                <w:sz w:val="20"/>
              </w:rPr>
              <w:t>Common in published models [3]</w:t>
            </w:r>
          </w:p>
        </w:tc>
        <w:tc>
          <w:tcPr>
            <w:tcW w:type="dxa" w:w="2268"/>
          </w:tcPr>
          <w:p>
            <w:pPr>
              <w:spacing w:after="0" w:line="240" w:lineRule="auto"/>
            </w:pPr>
            <w:r>
              <w:rPr>
                <w:rFonts w:ascii="Times New Roman" w:hAnsi="Times New Roman"/>
                <w:b w:val="0"/>
                <w:i w:val="0"/>
                <w:color w:val="000000"/>
                <w:sz w:val="20"/>
              </w:rPr>
              <w:t>DHH_SEX</w:t>
            </w:r>
          </w:p>
        </w:tc>
        <w:tc>
          <w:tcPr>
            <w:tcW w:type="dxa" w:w="2324"/>
          </w:tcPr>
          <w:p>
            <w:pPr>
              <w:spacing w:after="0" w:line="240" w:lineRule="auto"/>
            </w:pPr>
            <w:r>
              <w:rPr>
                <w:rFonts w:ascii="Times New Roman" w:hAnsi="Times New Roman"/>
                <w:b w:val="0"/>
                <w:i w:val="0"/>
                <w:color w:val="000000"/>
                <w:sz w:val="20"/>
              </w:rPr>
              <w:t>Core</w:t>
            </w:r>
          </w:p>
        </w:tc>
      </w:tr>
      <w:tr>
        <w:tc>
          <w:tcPr>
            <w:tcW w:type="dxa" w:w="1814"/>
          </w:tcPr>
          <w:p>
            <w:pPr>
              <w:spacing w:after="0" w:line="240" w:lineRule="auto"/>
            </w:pPr>
            <w:r>
              <w:rPr>
                <w:rFonts w:ascii="Times New Roman" w:hAnsi="Times New Roman"/>
                <w:b w:val="0"/>
                <w:i w:val="0"/>
                <w:color w:val="000000"/>
                <w:sz w:val="20"/>
              </w:rPr>
              <w:t>Education and income</w:t>
            </w:r>
          </w:p>
        </w:tc>
        <w:tc>
          <w:tcPr>
            <w:tcW w:type="dxa" w:w="2608"/>
          </w:tcPr>
          <w:p>
            <w:pPr>
              <w:spacing w:after="0" w:line="240" w:lineRule="auto"/>
            </w:pPr>
            <w:r>
              <w:rPr>
                <w:rFonts w:ascii="Times New Roman" w:hAnsi="Times New Roman"/>
                <w:b w:val="0"/>
                <w:i w:val="0"/>
                <w:color w:val="000000"/>
                <w:sz w:val="20"/>
              </w:rPr>
              <w:t>Canadian population studies [6], [7], [8]</w:t>
            </w:r>
          </w:p>
        </w:tc>
        <w:tc>
          <w:tcPr>
            <w:tcW w:type="dxa" w:w="2268"/>
          </w:tcPr>
          <w:p>
            <w:pPr>
              <w:spacing w:after="0" w:line="240" w:lineRule="auto"/>
            </w:pPr>
            <w:r>
              <w:rPr>
                <w:rFonts w:ascii="Times New Roman" w:hAnsi="Times New Roman"/>
                <w:b w:val="0"/>
                <w:i w:val="0"/>
                <w:color w:val="000000"/>
                <w:sz w:val="20"/>
              </w:rPr>
              <w:t>EDDVH3, INCDGHH</w:t>
            </w:r>
          </w:p>
        </w:tc>
        <w:tc>
          <w:tcPr>
            <w:tcW w:type="dxa" w:w="2324"/>
          </w:tcPr>
          <w:p>
            <w:pPr>
              <w:spacing w:after="0" w:line="240" w:lineRule="auto"/>
            </w:pPr>
            <w:r>
              <w:rPr>
                <w:rFonts w:ascii="Times New Roman" w:hAnsi="Times New Roman"/>
                <w:b w:val="0"/>
                <w:i w:val="0"/>
                <w:color w:val="000000"/>
                <w:sz w:val="20"/>
              </w:rPr>
              <w:t>Core</w:t>
            </w:r>
          </w:p>
        </w:tc>
      </w:tr>
      <w:tr>
        <w:tc>
          <w:tcPr>
            <w:tcW w:type="dxa" w:w="1814"/>
          </w:tcPr>
          <w:p>
            <w:pPr>
              <w:spacing w:after="0" w:line="240" w:lineRule="auto"/>
            </w:pPr>
            <w:r>
              <w:rPr>
                <w:rFonts w:ascii="Times New Roman" w:hAnsi="Times New Roman"/>
                <w:b w:val="0"/>
                <w:i w:val="0"/>
                <w:color w:val="000000"/>
                <w:sz w:val="20"/>
              </w:rPr>
              <w:t>Immigrant status</w:t>
            </w:r>
          </w:p>
        </w:tc>
        <w:tc>
          <w:tcPr>
            <w:tcW w:type="dxa" w:w="2608"/>
          </w:tcPr>
          <w:p>
            <w:pPr>
              <w:spacing w:after="0" w:line="240" w:lineRule="auto"/>
            </w:pPr>
            <w:r>
              <w:rPr>
                <w:rFonts w:ascii="Times New Roman" w:hAnsi="Times New Roman"/>
                <w:b w:val="0"/>
                <w:i w:val="0"/>
                <w:color w:val="000000"/>
                <w:sz w:val="20"/>
              </w:rPr>
              <w:t>Included in DPoRT [6]</w:t>
            </w:r>
          </w:p>
        </w:tc>
        <w:tc>
          <w:tcPr>
            <w:tcW w:type="dxa" w:w="2268"/>
          </w:tcPr>
          <w:p>
            <w:pPr>
              <w:spacing w:after="0" w:line="240" w:lineRule="auto"/>
            </w:pPr>
            <w:r>
              <w:rPr>
                <w:rFonts w:ascii="Times New Roman" w:hAnsi="Times New Roman"/>
                <w:b w:val="0"/>
                <w:i w:val="0"/>
                <w:color w:val="000000"/>
                <w:sz w:val="20"/>
              </w:rPr>
              <w:t>SDCDGIMM</w:t>
            </w:r>
          </w:p>
        </w:tc>
        <w:tc>
          <w:tcPr>
            <w:tcW w:type="dxa" w:w="2324"/>
          </w:tcPr>
          <w:p>
            <w:pPr>
              <w:spacing w:after="0" w:line="240" w:lineRule="auto"/>
            </w:pPr>
            <w:r>
              <w:rPr>
                <w:rFonts w:ascii="Times New Roman" w:hAnsi="Times New Roman"/>
                <w:b w:val="0"/>
                <w:i w:val="0"/>
                <w:color w:val="000000"/>
                <w:sz w:val="20"/>
              </w:rPr>
              <w:t>Core, treated as context</w:t>
            </w:r>
          </w:p>
        </w:tc>
      </w:tr>
      <w:tr>
        <w:tc>
          <w:tcPr>
            <w:tcW w:type="dxa" w:w="1814"/>
          </w:tcPr>
          <w:p>
            <w:pPr>
              <w:spacing w:after="0" w:line="240" w:lineRule="auto"/>
            </w:pPr>
            <w:r>
              <w:rPr>
                <w:rFonts w:ascii="Times New Roman" w:hAnsi="Times New Roman"/>
                <w:b w:val="0"/>
                <w:i w:val="0"/>
                <w:color w:val="000000"/>
                <w:sz w:val="20"/>
              </w:rPr>
              <w:t>Province</w:t>
            </w:r>
          </w:p>
        </w:tc>
        <w:tc>
          <w:tcPr>
            <w:tcW w:type="dxa" w:w="2608"/>
          </w:tcPr>
          <w:p>
            <w:pPr>
              <w:spacing w:after="0" w:line="240" w:lineRule="auto"/>
            </w:pPr>
            <w:r>
              <w:rPr>
                <w:rFonts w:ascii="Times New Roman" w:hAnsi="Times New Roman"/>
                <w:b w:val="0"/>
                <w:i w:val="0"/>
                <w:color w:val="000000"/>
                <w:sz w:val="20"/>
              </w:rPr>
              <w:t>Regional context</w:t>
            </w:r>
          </w:p>
        </w:tc>
        <w:tc>
          <w:tcPr>
            <w:tcW w:type="dxa" w:w="2268"/>
          </w:tcPr>
          <w:p>
            <w:pPr>
              <w:spacing w:after="0" w:line="240" w:lineRule="auto"/>
            </w:pPr>
            <w:r>
              <w:rPr>
                <w:rFonts w:ascii="Times New Roman" w:hAnsi="Times New Roman"/>
                <w:b w:val="0"/>
                <w:i w:val="0"/>
                <w:color w:val="000000"/>
                <w:sz w:val="20"/>
              </w:rPr>
              <w:t>GEOGPRV</w:t>
            </w:r>
          </w:p>
        </w:tc>
        <w:tc>
          <w:tcPr>
            <w:tcW w:type="dxa" w:w="2324"/>
          </w:tcPr>
          <w:p>
            <w:pPr>
              <w:spacing w:after="0" w:line="240" w:lineRule="auto"/>
            </w:pPr>
            <w:r>
              <w:rPr>
                <w:rFonts w:ascii="Times New Roman" w:hAnsi="Times New Roman"/>
                <w:b w:val="0"/>
                <w:i w:val="0"/>
                <w:color w:val="000000"/>
                <w:sz w:val="20"/>
              </w:rPr>
              <w:t>Core, treated as context</w:t>
            </w:r>
          </w:p>
        </w:tc>
      </w:tr>
      <w:tr>
        <w:tc>
          <w:tcPr>
            <w:tcW w:type="dxa" w:w="1814"/>
          </w:tcPr>
          <w:p>
            <w:pPr>
              <w:spacing w:after="0" w:line="240" w:lineRule="auto"/>
            </w:pPr>
            <w:r>
              <w:rPr>
                <w:rFonts w:ascii="Times New Roman" w:hAnsi="Times New Roman"/>
                <w:b w:val="0"/>
                <w:i w:val="0"/>
                <w:color w:val="000000"/>
                <w:sz w:val="20"/>
              </w:rPr>
              <w:t>Hypertension</w:t>
            </w:r>
          </w:p>
        </w:tc>
        <w:tc>
          <w:tcPr>
            <w:tcW w:type="dxa" w:w="2608"/>
          </w:tcPr>
          <w:p>
            <w:pPr>
              <w:spacing w:after="0" w:line="240" w:lineRule="auto"/>
            </w:pPr>
            <w:r>
              <w:rPr>
                <w:rFonts w:ascii="Times New Roman" w:hAnsi="Times New Roman"/>
                <w:b w:val="0"/>
                <w:i w:val="0"/>
                <w:color w:val="000000"/>
                <w:sz w:val="20"/>
              </w:rPr>
              <w:t>Common predictor [3], part of DPoRT [6]</w:t>
            </w:r>
          </w:p>
        </w:tc>
        <w:tc>
          <w:tcPr>
            <w:tcW w:type="dxa" w:w="2268"/>
          </w:tcPr>
          <w:p>
            <w:pPr>
              <w:spacing w:after="0" w:line="240" w:lineRule="auto"/>
            </w:pPr>
            <w:r>
              <w:rPr>
                <w:rFonts w:ascii="Times New Roman" w:hAnsi="Times New Roman"/>
                <w:b w:val="0"/>
                <w:i w:val="0"/>
                <w:color w:val="000000"/>
                <w:sz w:val="20"/>
              </w:rPr>
              <w:t>CCC_80</w:t>
            </w:r>
          </w:p>
        </w:tc>
        <w:tc>
          <w:tcPr>
            <w:tcW w:type="dxa" w:w="2324"/>
          </w:tcPr>
          <w:p>
            <w:pPr>
              <w:spacing w:after="0" w:line="240" w:lineRule="auto"/>
            </w:pPr>
            <w:r>
              <w:rPr>
                <w:rFonts w:ascii="Times New Roman" w:hAnsi="Times New Roman"/>
                <w:b w:val="0"/>
                <w:i w:val="0"/>
                <w:color w:val="000000"/>
                <w:sz w:val="20"/>
              </w:rPr>
              <w:t>Added in D1</w:t>
            </w:r>
          </w:p>
        </w:tc>
      </w:tr>
      <w:tr>
        <w:tc>
          <w:tcPr>
            <w:tcW w:type="dxa" w:w="1814"/>
          </w:tcPr>
          <w:p>
            <w:pPr>
              <w:spacing w:after="0" w:line="240" w:lineRule="auto"/>
            </w:pPr>
            <w:r>
              <w:rPr>
                <w:rFonts w:ascii="Times New Roman" w:hAnsi="Times New Roman"/>
                <w:b w:val="0"/>
                <w:i w:val="0"/>
                <w:color w:val="000000"/>
                <w:sz w:val="20"/>
              </w:rPr>
              <w:t>High cholesterol</w:t>
            </w:r>
          </w:p>
        </w:tc>
        <w:tc>
          <w:tcPr>
            <w:tcW w:type="dxa" w:w="2608"/>
          </w:tcPr>
          <w:p>
            <w:pPr>
              <w:spacing w:after="0" w:line="240" w:lineRule="auto"/>
            </w:pPr>
            <w:r>
              <w:rPr>
                <w:rFonts w:ascii="Times New Roman" w:hAnsi="Times New Roman"/>
                <w:b w:val="0"/>
                <w:i w:val="0"/>
                <w:color w:val="000000"/>
                <w:sz w:val="20"/>
              </w:rPr>
              <w:t>Related cardiometabolic condition</w:t>
            </w:r>
          </w:p>
        </w:tc>
        <w:tc>
          <w:tcPr>
            <w:tcW w:type="dxa" w:w="2268"/>
          </w:tcPr>
          <w:p>
            <w:pPr>
              <w:spacing w:after="0" w:line="240" w:lineRule="auto"/>
            </w:pPr>
            <w:r>
              <w:rPr>
                <w:rFonts w:ascii="Times New Roman" w:hAnsi="Times New Roman"/>
                <w:b w:val="0"/>
                <w:i w:val="0"/>
                <w:color w:val="000000"/>
                <w:sz w:val="20"/>
              </w:rPr>
              <w:t>CCC_90</w:t>
            </w:r>
          </w:p>
        </w:tc>
        <w:tc>
          <w:tcPr>
            <w:tcW w:type="dxa" w:w="2324"/>
          </w:tcPr>
          <w:p>
            <w:pPr>
              <w:spacing w:after="0" w:line="240" w:lineRule="auto"/>
            </w:pPr>
            <w:r>
              <w:rPr>
                <w:rFonts w:ascii="Times New Roman" w:hAnsi="Times New Roman"/>
                <w:b w:val="0"/>
                <w:i w:val="0"/>
                <w:color w:val="000000"/>
                <w:sz w:val="20"/>
              </w:rPr>
              <w:t>Added in D2</w:t>
            </w:r>
          </w:p>
        </w:tc>
      </w:tr>
      <w:tr>
        <w:tc>
          <w:tcPr>
            <w:tcW w:type="dxa" w:w="1814"/>
          </w:tcPr>
          <w:p>
            <w:pPr>
              <w:spacing w:after="0" w:line="240" w:lineRule="auto"/>
            </w:pPr>
            <w:r>
              <w:rPr>
                <w:rFonts w:ascii="Times New Roman" w:hAnsi="Times New Roman"/>
                <w:b w:val="0"/>
                <w:i w:val="0"/>
                <w:color w:val="000000"/>
                <w:sz w:val="20"/>
              </w:rPr>
              <w:t>Smoking</w:t>
            </w:r>
          </w:p>
        </w:tc>
        <w:tc>
          <w:tcPr>
            <w:tcW w:type="dxa" w:w="2608"/>
          </w:tcPr>
          <w:p>
            <w:pPr>
              <w:spacing w:after="0" w:line="240" w:lineRule="auto"/>
            </w:pPr>
            <w:r>
              <w:rPr>
                <w:rFonts w:ascii="Times New Roman" w:hAnsi="Times New Roman"/>
                <w:b w:val="0"/>
                <w:i w:val="0"/>
                <w:color w:val="000000"/>
                <w:sz w:val="20"/>
              </w:rPr>
              <w:t>Higher risk in current smokers [9]</w:t>
            </w:r>
          </w:p>
        </w:tc>
        <w:tc>
          <w:tcPr>
            <w:tcW w:type="dxa" w:w="2268"/>
          </w:tcPr>
          <w:p>
            <w:pPr>
              <w:spacing w:after="0" w:line="240" w:lineRule="auto"/>
            </w:pPr>
            <w:r>
              <w:rPr>
                <w:rFonts w:ascii="Times New Roman" w:hAnsi="Times New Roman"/>
                <w:b w:val="0"/>
                <w:i w:val="0"/>
                <w:color w:val="000000"/>
                <w:sz w:val="20"/>
              </w:rPr>
              <w:t>Adult smoking measures</w:t>
            </w:r>
          </w:p>
        </w:tc>
        <w:tc>
          <w:tcPr>
            <w:tcW w:type="dxa" w:w="2324"/>
          </w:tcPr>
          <w:p>
            <w:pPr>
              <w:spacing w:after="0" w:line="240" w:lineRule="auto"/>
            </w:pPr>
            <w:r>
              <w:rPr>
                <w:rFonts w:ascii="Times New Roman" w:hAnsi="Times New Roman"/>
                <w:b w:val="0"/>
                <w:i w:val="0"/>
                <w:color w:val="000000"/>
                <w:sz w:val="20"/>
              </w:rPr>
              <w:t>Planned adult-only condition, not completed</w:t>
            </w:r>
          </w:p>
        </w:tc>
      </w:tr>
      <w:tr>
        <w:tc>
          <w:tcPr>
            <w:tcW w:type="dxa" w:w="1814"/>
          </w:tcPr>
          <w:p>
            <w:pPr>
              <w:spacing w:after="0" w:line="240" w:lineRule="auto"/>
            </w:pPr>
            <w:r>
              <w:rPr>
                <w:rFonts w:ascii="Times New Roman" w:hAnsi="Times New Roman"/>
                <w:b w:val="0"/>
                <w:i w:val="0"/>
                <w:color w:val="000000"/>
                <w:sz w:val="20"/>
              </w:rPr>
              <w:t>Physical activity</w:t>
            </w:r>
          </w:p>
        </w:tc>
        <w:tc>
          <w:tcPr>
            <w:tcW w:type="dxa" w:w="2608"/>
          </w:tcPr>
          <w:p>
            <w:pPr>
              <w:spacing w:after="0" w:line="240" w:lineRule="auto"/>
            </w:pPr>
            <w:r>
              <w:rPr>
                <w:rFonts w:ascii="Times New Roman" w:hAnsi="Times New Roman"/>
                <w:b w:val="0"/>
                <w:i w:val="0"/>
                <w:color w:val="000000"/>
                <w:sz w:val="20"/>
              </w:rPr>
              <w:t>Dose-response relationship [10]</w:t>
            </w:r>
          </w:p>
        </w:tc>
        <w:tc>
          <w:tcPr>
            <w:tcW w:type="dxa" w:w="2268"/>
          </w:tcPr>
          <w:p>
            <w:pPr>
              <w:spacing w:after="0" w:line="240" w:lineRule="auto"/>
            </w:pPr>
            <w:r>
              <w:rPr>
                <w:rFonts w:ascii="Times New Roman" w:hAnsi="Times New Roman"/>
                <w:b w:val="0"/>
                <w:i w:val="0"/>
                <w:color w:val="000000"/>
                <w:sz w:val="20"/>
              </w:rPr>
              <w:t>Adult activity measures</w:t>
            </w:r>
          </w:p>
        </w:tc>
        <w:tc>
          <w:tcPr>
            <w:tcW w:type="dxa" w:w="2324"/>
          </w:tcPr>
          <w:p>
            <w:pPr>
              <w:spacing w:after="0" w:line="240" w:lineRule="auto"/>
            </w:pPr>
            <w:r>
              <w:rPr>
                <w:rFonts w:ascii="Times New Roman" w:hAnsi="Times New Roman"/>
                <w:b w:val="0"/>
                <w:i w:val="0"/>
                <w:color w:val="000000"/>
                <w:sz w:val="20"/>
              </w:rPr>
              <w:t>Planned adult-only condition, not completed</w:t>
            </w:r>
          </w:p>
        </w:tc>
      </w:tr>
      <w:tr>
        <w:tc>
          <w:tcPr>
            <w:tcW w:type="dxa" w:w="1814"/>
          </w:tcPr>
          <w:p>
            <w:pPr>
              <w:spacing w:after="0" w:line="240" w:lineRule="auto"/>
            </w:pPr>
            <w:r>
              <w:rPr>
                <w:rFonts w:ascii="Times New Roman" w:hAnsi="Times New Roman"/>
                <w:b w:val="0"/>
                <w:i w:val="0"/>
                <w:color w:val="000000"/>
                <w:sz w:val="20"/>
              </w:rPr>
              <w:t>Alcohol</w:t>
            </w:r>
          </w:p>
        </w:tc>
        <w:tc>
          <w:tcPr>
            <w:tcW w:type="dxa" w:w="2608"/>
          </w:tcPr>
          <w:p>
            <w:pPr>
              <w:spacing w:after="0" w:line="240" w:lineRule="auto"/>
            </w:pPr>
            <w:r>
              <w:rPr>
                <w:rFonts w:ascii="Times New Roman" w:hAnsi="Times New Roman"/>
                <w:b w:val="0"/>
                <w:i w:val="0"/>
                <w:color w:val="000000"/>
                <w:sz w:val="20"/>
              </w:rPr>
              <w:t>U-shaped relationship [11]</w:t>
            </w:r>
          </w:p>
        </w:tc>
        <w:tc>
          <w:tcPr>
            <w:tcW w:type="dxa" w:w="2268"/>
          </w:tcPr>
          <w:p>
            <w:pPr>
              <w:spacing w:after="0" w:line="240" w:lineRule="auto"/>
            </w:pPr>
            <w:r>
              <w:rPr>
                <w:rFonts w:ascii="Times New Roman" w:hAnsi="Times New Roman"/>
                <w:b w:val="0"/>
                <w:i w:val="0"/>
                <w:color w:val="000000"/>
                <w:sz w:val="20"/>
              </w:rPr>
              <w:t>ALCDVTTM</w:t>
            </w:r>
          </w:p>
        </w:tc>
        <w:tc>
          <w:tcPr>
            <w:tcW w:type="dxa" w:w="2324"/>
          </w:tcPr>
          <w:p>
            <w:pPr>
              <w:spacing w:after="0" w:line="240" w:lineRule="auto"/>
            </w:pPr>
            <w:r>
              <w:rPr>
                <w:rFonts w:ascii="Times New Roman" w:hAnsi="Times New Roman"/>
                <w:b w:val="0"/>
                <w:i w:val="0"/>
                <w:color w:val="000000"/>
                <w:sz w:val="20"/>
              </w:rPr>
              <w:t>Not in the compact core</w:t>
            </w:r>
          </w:p>
        </w:tc>
      </w:tr>
      <w:tr>
        <w:tc>
          <w:tcPr>
            <w:tcW w:type="dxa" w:w="1814"/>
          </w:tcPr>
          <w:p>
            <w:pPr>
              <w:spacing w:after="0" w:line="240" w:lineRule="auto"/>
            </w:pPr>
            <w:r>
              <w:rPr>
                <w:rFonts w:ascii="Times New Roman" w:hAnsi="Times New Roman"/>
                <w:b w:val="0"/>
                <w:i w:val="0"/>
                <w:color w:val="000000"/>
                <w:sz w:val="20"/>
              </w:rPr>
              <w:t>Vaping</w:t>
            </w:r>
          </w:p>
        </w:tc>
        <w:tc>
          <w:tcPr>
            <w:tcW w:type="dxa" w:w="2608"/>
          </w:tcPr>
          <w:p>
            <w:pPr>
              <w:spacing w:after="0" w:line="240" w:lineRule="auto"/>
            </w:pPr>
            <w:r>
              <w:rPr>
                <w:rFonts w:ascii="Times New Roman" w:hAnsi="Times New Roman"/>
                <w:b w:val="0"/>
                <w:i w:val="0"/>
                <w:color w:val="000000"/>
                <w:sz w:val="20"/>
              </w:rPr>
              <w:t>No clear link for exclusive use [12]</w:t>
            </w:r>
          </w:p>
        </w:tc>
        <w:tc>
          <w:tcPr>
            <w:tcW w:type="dxa" w:w="2268"/>
          </w:tcPr>
          <w:p>
            <w:pPr>
              <w:spacing w:after="0" w:line="240" w:lineRule="auto"/>
            </w:pPr>
            <w:r>
              <w:rPr>
                <w:rFonts w:ascii="Times New Roman" w:hAnsi="Times New Roman"/>
                <w:b w:val="0"/>
                <w:i w:val="0"/>
                <w:color w:val="000000"/>
                <w:sz w:val="20"/>
              </w:rPr>
              <w:t>ECV_05</w:t>
            </w:r>
          </w:p>
        </w:tc>
        <w:tc>
          <w:tcPr>
            <w:tcW w:type="dxa" w:w="2324"/>
          </w:tcPr>
          <w:p>
            <w:pPr>
              <w:spacing w:after="0" w:line="240" w:lineRule="auto"/>
            </w:pPr>
            <w:r>
              <w:rPr>
                <w:rFonts w:ascii="Times New Roman" w:hAnsi="Times New Roman"/>
                <w:b w:val="0"/>
                <w:i w:val="0"/>
                <w:color w:val="000000"/>
                <w:sz w:val="20"/>
              </w:rPr>
              <w:t>Not in the compact core</w:t>
            </w:r>
          </w:p>
        </w:tc>
      </w:tr>
      <w:tr>
        <w:tc>
          <w:tcPr>
            <w:tcW w:type="dxa" w:w="1814"/>
          </w:tcPr>
          <w:p>
            <w:pPr>
              <w:spacing w:after="0" w:line="240" w:lineRule="auto"/>
            </w:pPr>
            <w:r>
              <w:rPr>
                <w:rFonts w:ascii="Times New Roman" w:hAnsi="Times New Roman"/>
                <w:b w:val="0"/>
                <w:i w:val="0"/>
                <w:color w:val="000000"/>
                <w:sz w:val="20"/>
              </w:rPr>
              <w:t>Regular health care provider</w:t>
            </w:r>
          </w:p>
        </w:tc>
        <w:tc>
          <w:tcPr>
            <w:tcW w:type="dxa" w:w="2608"/>
          </w:tcPr>
          <w:p>
            <w:pPr>
              <w:spacing w:after="0" w:line="240" w:lineRule="auto"/>
            </w:pPr>
            <w:r>
              <w:rPr>
                <w:rFonts w:ascii="Times New Roman" w:hAnsi="Times New Roman"/>
                <w:b w:val="0"/>
                <w:i w:val="0"/>
                <w:color w:val="000000"/>
                <w:sz w:val="20"/>
              </w:rPr>
              <w:t>Linked to diagnosis, not to disease</w:t>
            </w:r>
          </w:p>
        </w:tc>
        <w:tc>
          <w:tcPr>
            <w:tcW w:type="dxa" w:w="2268"/>
          </w:tcPr>
          <w:p>
            <w:pPr>
              <w:spacing w:after="0" w:line="240" w:lineRule="auto"/>
            </w:pPr>
            <w:r>
              <w:rPr>
                <w:rFonts w:ascii="Times New Roman" w:hAnsi="Times New Roman"/>
                <w:b w:val="0"/>
                <w:i w:val="0"/>
                <w:color w:val="000000"/>
                <w:sz w:val="20"/>
              </w:rPr>
              <w:t>RHC_05</w:t>
            </w:r>
          </w:p>
        </w:tc>
        <w:tc>
          <w:tcPr>
            <w:tcW w:type="dxa" w:w="2324"/>
          </w:tcPr>
          <w:p>
            <w:pPr>
              <w:spacing w:after="0" w:line="240" w:lineRule="auto"/>
            </w:pPr>
            <w:r>
              <w:rPr>
                <w:rFonts w:ascii="Times New Roman" w:hAnsi="Times New Roman"/>
                <w:b w:val="0"/>
                <w:i w:val="0"/>
                <w:color w:val="000000"/>
                <w:sz w:val="20"/>
              </w:rPr>
              <w:t>Held out</w:t>
            </w:r>
          </w:p>
        </w:tc>
      </w:tr>
    </w:tbl>
    <w:p>
      <w:pPr>
        <w:spacing w:after="40"/>
      </w:pPr>
    </w:p>
    <w:p>
      <w:pPr>
        <w:keepNext/>
        <w:spacing w:before="240" w:after="80"/>
      </w:pPr>
      <w:r>
        <w:rPr>
          <w:rFonts w:ascii="Times New Roman" w:hAnsi="Times New Roman"/>
          <w:b/>
          <w:i w:val="0"/>
          <w:color w:val="000000"/>
          <w:sz w:val="26"/>
        </w:rPr>
        <w:t>7. Research Gap and Contribution of This Project</w:t>
      </w:r>
    </w:p>
    <w:p>
      <w:pPr>
        <w:jc w:val="both"/>
      </w:pPr>
      <w:r>
        <w:rPr>
          <w:rFonts w:ascii="Times New Roman" w:hAnsi="Times New Roman"/>
          <w:b w:val="0"/>
          <w:i w:val="0"/>
          <w:color w:val="000000"/>
        </w:rPr>
        <w:t>There is a large body of work on diabetes risk prediction, including Canadian population tools and machine learning studies [2], [5], [6]. Less work has looked at how much the choice and representation of predictors matters compared with the choice of algorithm when classifying reported diabetes in the CCHS 2022 PUMF, while handling the survey's special response codes and applicability rules carefully. This is the gap the project addresses.</w:t>
      </w:r>
    </w:p>
    <w:p>
      <w:pPr>
        <w:jc w:val="both"/>
      </w:pPr>
      <w:r>
        <w:rPr>
          <w:rFonts w:ascii="Times New Roman" w:hAnsi="Times New Roman"/>
          <w:b w:val="0"/>
          <w:i w:val="0"/>
          <w:color w:val="000000"/>
        </w:rPr>
        <w:t>In the project, ROC-AUC ranged from 0.774 to 0.827 across the completed feature conditions, and F1 changed by 0.053 between conditions C and D2. On the fixed D2 feature set, the F1 scores of logistic regression, random forest and gradient boosting differed by only 0.008. Age, reported hypertension, reported high cholesterol and BMI class were the most important variables for all three models. These results agree with the predictors highlighted in the literature [3], [4], [6], and the small difference between models is consistent with the review by De Silva et al. [5].</w:t>
      </w:r>
    </w:p>
    <w:p>
      <w:pPr>
        <w:keepNext/>
        <w:spacing w:before="240" w:after="80"/>
      </w:pPr>
      <w:r>
        <w:rPr>
          <w:rFonts w:ascii="Times New Roman" w:hAnsi="Times New Roman"/>
          <w:b/>
          <w:i w:val="0"/>
          <w:color w:val="000000"/>
          <w:sz w:val="26"/>
        </w:rPr>
        <w:t>8. Limitations of This Review</w:t>
      </w:r>
    </w:p>
    <w:p>
      <w:pPr>
        <w:jc w:val="both"/>
      </w:pPr>
      <w:r>
        <w:rPr>
          <w:rFonts w:ascii="Times New Roman" w:hAnsi="Times New Roman"/>
          <w:b w:val="0"/>
          <w:i w:val="0"/>
          <w:color w:val="000000"/>
        </w:rPr>
        <w:t>This was a targeted review rather than a formal systematic review, and it focused on English language sources. Most of the prediction studies reviewed were designed for future type 2 diabetes, which is a different task from classifying reported diabetes in a cross-sectional survey, so their findings were used as guidance rather than as direct benchmarks.</w:t>
      </w:r>
    </w:p>
    <w:p>
      <w:pPr>
        <w:keepNext/>
        <w:spacing w:before="240" w:after="80"/>
      </w:pPr>
      <w:r>
        <w:rPr>
          <w:rFonts w:ascii="Times New Roman" w:hAnsi="Times New Roman"/>
          <w:b/>
          <w:i w:val="0"/>
          <w:color w:val="000000"/>
          <w:sz w:val="26"/>
        </w:rPr>
        <w:t>9. Conclusion</w:t>
      </w:r>
    </w:p>
    <w:p>
      <w:pPr>
        <w:jc w:val="both"/>
      </w:pPr>
      <w:r>
        <w:rPr>
          <w:rFonts w:ascii="Times New Roman" w:hAnsi="Times New Roman"/>
          <w:b w:val="0"/>
          <w:i w:val="0"/>
          <w:color w:val="000000"/>
        </w:rPr>
        <w:t>The literature strongly supports age, BMI and hypertension as predictors of diabetes, gives reasonable support for sex, education and income in the Canadian setting, and gives weaker or more conditional support for alcohol, vaping and psychosocial measures. It also warns about leakage, class imbalance, survey design and weak validation. This project used that evidence to build and test feature conditions step by step, and its results suggest that the choice of predictors had a larger effect on classification than the choice of model.</w:t>
      </w:r>
    </w:p>
    <w:p>
      <w:pPr>
        <w:keepNext/>
        <w:spacing w:before="240" w:after="80"/>
      </w:pPr>
      <w:r>
        <w:rPr>
          <w:rFonts w:ascii="Times New Roman" w:hAnsi="Times New Roman"/>
          <w:b/>
          <w:i w:val="0"/>
          <w:color w:val="000000"/>
          <w:sz w:val="26"/>
        </w:rPr>
        <w:t>References</w:t>
      </w:r>
    </w:p>
    <w:p>
      <w:pPr>
        <w:tabs>
          <w:tab w:pos="567" w:val="left"/>
        </w:tabs>
        <w:spacing w:after="80" w:line="240" w:lineRule="auto"/>
        <w:ind w:left="567" w:hanging="567"/>
      </w:pPr>
      <w:r>
        <w:rPr>
          <w:rFonts w:ascii="Times New Roman" w:hAnsi="Times New Roman"/>
          <w:b w:val="0"/>
          <w:i w:val="0"/>
          <w:color w:val="000000"/>
          <w:sz w:val="22"/>
        </w:rPr>
        <w:t>[1]</w:t>
        <w:tab/>
      </w:r>
      <w:r>
        <w:rPr>
          <w:rFonts w:ascii="Times New Roman" w:hAnsi="Times New Roman"/>
          <w:b w:val="0"/>
          <w:i w:val="0"/>
          <w:color w:val="000000"/>
          <w:sz w:val="22"/>
        </w:rPr>
        <w:t>Statistics Canada, "Canadian Community Health Survey: Public use microdata file," Catalogue no. 82M0013X.</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9">
        <w:r>
          <w:rPr>
            <w:rFonts w:ascii="Times New Roman" w:hAnsi="Times New Roman" w:cs="Times New Roman"/>
            <w:color w:val="000000"/>
            <w:sz w:val="22"/>
          </w:rPr>
          <w:t xml:space="preserve">https://www150.statcan.gc.ca/n1/en/catalogue/82M0013X</w:t>
        </w:r>
      </w:hyperlink>
      <w:r>
        <w:rPr>
          <w:rFonts w:ascii="Times New Roman" w:hAnsi="Times New Roman"/>
          <w:b w:val="0"/>
          <w:i w:val="0"/>
          <w:color w:val="000000"/>
          <w:sz w:val="22"/>
        </w:rPr>
        <w:t xml:space="preserve"> (accessed Sep. 16, 2026).</w:t>
      </w:r>
    </w:p>
    <w:p>
      <w:pPr>
        <w:tabs>
          <w:tab w:pos="567" w:val="left"/>
        </w:tabs>
        <w:spacing w:after="80" w:line="240" w:lineRule="auto"/>
        <w:ind w:left="567" w:hanging="567"/>
      </w:pPr>
      <w:r>
        <w:rPr>
          <w:rFonts w:ascii="Times New Roman" w:hAnsi="Times New Roman"/>
          <w:b w:val="0"/>
          <w:i w:val="0"/>
          <w:color w:val="000000"/>
          <w:sz w:val="22"/>
        </w:rPr>
        <w:t>[2]</w:t>
        <w:tab/>
      </w:r>
      <w:r>
        <w:rPr>
          <w:rFonts w:ascii="Times New Roman" w:hAnsi="Times New Roman"/>
          <w:b w:val="0"/>
          <w:i w:val="0"/>
          <w:color w:val="000000"/>
          <w:sz w:val="22"/>
        </w:rPr>
        <w:t>D. Noble, R. Mathur, T. Dent, C. Meads, and T. Greenhalgh, "Risk models and scores for type 2 diabetes: Systematic review," BMJ, vol. 343, Art. no. d7163, 2011, doi: 10.1136/bmj.d7163.</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0">
        <w:r>
          <w:rPr>
            <w:rFonts w:ascii="Times New Roman" w:hAnsi="Times New Roman" w:cs="Times New Roman"/>
            <w:color w:val="000000"/>
            <w:sz w:val="22"/>
          </w:rPr>
          <w:t xml:space="preserve">https://doi.org/10.1136/bmj.d7163</w:t>
        </w:r>
      </w:hyperlink>
    </w:p>
    <w:p>
      <w:pPr>
        <w:tabs>
          <w:tab w:pos="567" w:val="left"/>
        </w:tabs>
        <w:spacing w:after="80" w:line="240" w:lineRule="auto"/>
        <w:ind w:left="567" w:hanging="567"/>
      </w:pPr>
      <w:r>
        <w:rPr>
          <w:rFonts w:ascii="Times New Roman" w:hAnsi="Times New Roman"/>
          <w:b w:val="0"/>
          <w:i w:val="0"/>
          <w:color w:val="000000"/>
          <w:sz w:val="22"/>
        </w:rPr>
        <w:t>[3]</w:t>
        <w:tab/>
      </w:r>
      <w:r>
        <w:rPr>
          <w:rFonts w:ascii="Times New Roman" w:hAnsi="Times New Roman"/>
          <w:b w:val="0"/>
          <w:i w:val="0"/>
          <w:color w:val="000000"/>
          <w:sz w:val="22"/>
        </w:rPr>
        <w:t>G. S. Collins, S. Mallett, O. Omar, and L.-M. Yu, "Developing risk prediction models for type 2 diabetes: A systematic review of methodology and reporting," BMC Medicine, vol. 9, Art. no. 103, 2011, doi: 10.1186/1741-7015-9-103.</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1">
        <w:r>
          <w:rPr>
            <w:rFonts w:ascii="Times New Roman" w:hAnsi="Times New Roman" w:cs="Times New Roman"/>
            <w:color w:val="000000"/>
            <w:sz w:val="22"/>
          </w:rPr>
          <w:t xml:space="preserve">https://doi.org/10.1186/1741-7015-9-103</w:t>
        </w:r>
      </w:hyperlink>
    </w:p>
    <w:p>
      <w:pPr>
        <w:tabs>
          <w:tab w:pos="567" w:val="left"/>
        </w:tabs>
        <w:spacing w:after="80" w:line="240" w:lineRule="auto"/>
        <w:ind w:left="567" w:hanging="567"/>
      </w:pPr>
      <w:r>
        <w:rPr>
          <w:rFonts w:ascii="Times New Roman" w:hAnsi="Times New Roman"/>
          <w:b w:val="0"/>
          <w:i w:val="0"/>
          <w:color w:val="000000"/>
          <w:sz w:val="22"/>
        </w:rPr>
        <w:t>[4]</w:t>
        <w:tab/>
      </w:r>
      <w:r>
        <w:rPr>
          <w:rFonts w:ascii="Times New Roman" w:hAnsi="Times New Roman"/>
          <w:b w:val="0"/>
          <w:i w:val="0"/>
          <w:color w:val="000000"/>
          <w:sz w:val="22"/>
        </w:rPr>
        <w:t>S. Asgari, D. Khalili, F. Hosseinpanah, and F. Hadaegh, "Prediction models for type 2 diabetes risk in the general population: A systematic review of observational studies," Int. J. Endocrinology and Metabolism, vol. 19, no. 3, Art. no. e109206, 2021, doi: 10.5812/ijem.109206.</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2">
        <w:r>
          <w:rPr>
            <w:rFonts w:ascii="Times New Roman" w:hAnsi="Times New Roman" w:cs="Times New Roman"/>
            <w:color w:val="000000"/>
            <w:sz w:val="22"/>
          </w:rPr>
          <w:t xml:space="preserve">https://doi.org/10.5812/ijem.109206</w:t>
        </w:r>
      </w:hyperlink>
    </w:p>
    <w:p>
      <w:pPr>
        <w:tabs>
          <w:tab w:pos="567" w:val="left"/>
        </w:tabs>
        <w:spacing w:after="80" w:line="240" w:lineRule="auto"/>
        <w:ind w:left="567" w:hanging="567"/>
      </w:pPr>
      <w:r>
        <w:rPr>
          <w:rFonts w:ascii="Times New Roman" w:hAnsi="Times New Roman"/>
          <w:b w:val="0"/>
          <w:i w:val="0"/>
          <w:color w:val="000000"/>
          <w:sz w:val="22"/>
        </w:rPr>
        <w:t>[5]</w:t>
        <w:tab/>
      </w:r>
      <w:r>
        <w:rPr>
          <w:rFonts w:ascii="Times New Roman" w:hAnsi="Times New Roman"/>
          <w:b w:val="0"/>
          <w:i w:val="0"/>
          <w:color w:val="000000"/>
          <w:sz w:val="22"/>
        </w:rPr>
        <w:t>K. De Silva, W. K. Lee, A. Forbes, R. T. Demmer, C. Barton, and J. Enticott, "Use and performance of machine learning models for type 2 diabetes prediction in community settings: A systematic review and meta-analysis," Int. J. Medical Informatics, vol. 143, Art. no. 104268, 2020, doi: 10.1016/j.ijmedinf.2020.104268.</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3">
        <w:r>
          <w:rPr>
            <w:rFonts w:ascii="Times New Roman" w:hAnsi="Times New Roman" w:cs="Times New Roman"/>
            <w:color w:val="000000"/>
            <w:sz w:val="22"/>
          </w:rPr>
          <w:t xml:space="preserve">https://doi.org/10.1016/j.ijmedinf.2020.104268</w:t>
        </w:r>
      </w:hyperlink>
    </w:p>
    <w:p>
      <w:pPr>
        <w:tabs>
          <w:tab w:pos="567" w:val="left"/>
        </w:tabs>
        <w:spacing w:after="80" w:line="240" w:lineRule="auto"/>
        <w:ind w:left="567" w:hanging="567"/>
      </w:pPr>
      <w:r>
        <w:rPr>
          <w:rFonts w:ascii="Times New Roman" w:hAnsi="Times New Roman"/>
          <w:b w:val="0"/>
          <w:i w:val="0"/>
          <w:color w:val="000000"/>
          <w:sz w:val="22"/>
        </w:rPr>
        <w:t>[6]</w:t>
        <w:tab/>
      </w:r>
      <w:r>
        <w:rPr>
          <w:rFonts w:ascii="Times New Roman" w:hAnsi="Times New Roman"/>
          <w:b w:val="0"/>
          <w:i w:val="0"/>
          <w:color w:val="000000"/>
          <w:sz w:val="22"/>
        </w:rPr>
        <w:t>L. C. Rosella, D. G. Manuel, C. Burchill, and T. A. Stukel, "A population-based risk algorithm for the development of diabetes: Development and validation of the Diabetes Population Risk Tool (DPoRT)," J. Epidemiology and Community Health, vol. 65, no. 7, pp. 613-620, 2011, doi: 10.1136/jech.2009.102244.</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4">
        <w:r>
          <w:rPr>
            <w:rFonts w:ascii="Times New Roman" w:hAnsi="Times New Roman" w:cs="Times New Roman"/>
            <w:color w:val="000000"/>
            <w:sz w:val="22"/>
          </w:rPr>
          <w:t xml:space="preserve">https://doi.org/10.1136/jech.2009.102244</w:t>
        </w:r>
      </w:hyperlink>
    </w:p>
    <w:p>
      <w:pPr>
        <w:tabs>
          <w:tab w:pos="567" w:val="left"/>
        </w:tabs>
        <w:spacing w:after="80" w:line="240" w:lineRule="auto"/>
        <w:ind w:left="567" w:hanging="567"/>
      </w:pPr>
      <w:r>
        <w:rPr>
          <w:rFonts w:ascii="Times New Roman" w:hAnsi="Times New Roman"/>
          <w:b w:val="0"/>
          <w:i w:val="0"/>
          <w:color w:val="000000"/>
          <w:sz w:val="22"/>
        </w:rPr>
        <w:t>[7]</w:t>
        <w:tab/>
      </w:r>
      <w:r>
        <w:rPr>
          <w:rFonts w:ascii="Times New Roman" w:hAnsi="Times New Roman"/>
          <w:b w:val="0"/>
          <w:i w:val="0"/>
          <w:color w:val="000000"/>
          <w:sz w:val="22"/>
        </w:rPr>
        <w:t>K. Lu, K. Kornas, and L. C. Rosella, "Predictive modelling of diabetes risk in population groups defined by socioeconomic and lifestyle factors in Canada: A cross-sectional study," Int. J. Public Health, vol. 69, Art. no. 1607060, 2024, doi: 10.3389/ijph.2024.1607060.</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5">
        <w:r>
          <w:rPr>
            <w:rFonts w:ascii="Times New Roman" w:hAnsi="Times New Roman" w:cs="Times New Roman"/>
            <w:color w:val="000000"/>
            <w:sz w:val="22"/>
          </w:rPr>
          <w:t xml:space="preserve">https://doi.org/10.3389/ijph.2024.1607060</w:t>
        </w:r>
      </w:hyperlink>
    </w:p>
    <w:p>
      <w:pPr>
        <w:tabs>
          <w:tab w:pos="567" w:val="left"/>
        </w:tabs>
        <w:spacing w:after="80" w:line="240" w:lineRule="auto"/>
        <w:ind w:left="567" w:hanging="567"/>
      </w:pPr>
      <w:r>
        <w:rPr>
          <w:rFonts w:ascii="Times New Roman" w:hAnsi="Times New Roman"/>
          <w:b w:val="0"/>
          <w:i w:val="0"/>
          <w:color w:val="000000"/>
          <w:sz w:val="22"/>
        </w:rPr>
        <w:t>[8]</w:t>
        <w:tab/>
      </w:r>
      <w:r>
        <w:rPr>
          <w:rFonts w:ascii="Times New Roman" w:hAnsi="Times New Roman"/>
          <w:b w:val="0"/>
          <w:i w:val="0"/>
          <w:color w:val="000000"/>
          <w:sz w:val="22"/>
        </w:rPr>
        <w:t>S. Dinca-Panaitescu, M. Dinca-Panaitescu, T. Bryant, I. Daiski, B. Pilkington, and D. Raphael, "Diabetes prevalence and income: Results of the Canadian Community Health Survey," Health Policy, vol. 99, no. 2, pp. 116-123, 2011.</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6">
        <w:r>
          <w:rPr>
            <w:rFonts w:ascii="Times New Roman" w:hAnsi="Times New Roman" w:cs="Times New Roman"/>
            <w:color w:val="000000"/>
            <w:sz w:val="22"/>
          </w:rPr>
          <w:t xml:space="preserve">https://pubmed.ncbi.nlm.nih.gov/20724018/</w:t>
        </w:r>
      </w:hyperlink>
    </w:p>
    <w:p>
      <w:pPr>
        <w:tabs>
          <w:tab w:pos="567" w:val="left"/>
        </w:tabs>
        <w:spacing w:after="80" w:line="240" w:lineRule="auto"/>
        <w:ind w:left="567" w:hanging="567"/>
      </w:pPr>
      <w:r>
        <w:rPr>
          <w:rFonts w:ascii="Times New Roman" w:hAnsi="Times New Roman"/>
          <w:b w:val="0"/>
          <w:i w:val="0"/>
          <w:color w:val="000000"/>
          <w:sz w:val="22"/>
        </w:rPr>
        <w:t>[9]</w:t>
        <w:tab/>
      </w:r>
      <w:r>
        <w:rPr>
          <w:rFonts w:ascii="Times New Roman" w:hAnsi="Times New Roman"/>
          <w:b w:val="0"/>
          <w:i w:val="0"/>
          <w:color w:val="000000"/>
          <w:sz w:val="22"/>
        </w:rPr>
        <w:t>A. Pan, Y. Wang, M. Talaei, F. B. Hu, and T. Wu, "Relation of active, passive, and quitting smoking with incident type 2 diabetes: A systematic review and meta-analysis," Lancet Diabetes &amp; Endocrinology, vol. 3, no. 12, pp. 958-967, 2015, doi: 10.1016/S2213-8587(15)00316-2.</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7">
        <w:r>
          <w:rPr>
            <w:rFonts w:ascii="Times New Roman" w:hAnsi="Times New Roman" w:cs="Times New Roman"/>
            <w:color w:val="000000"/>
            <w:sz w:val="22"/>
          </w:rPr>
          <w:t xml:space="preserve">https://doi.org/10.1016/S2213-8587(15)00316-2</w:t>
        </w:r>
      </w:hyperlink>
    </w:p>
    <w:p>
      <w:pPr>
        <w:tabs>
          <w:tab w:pos="567" w:val="left"/>
        </w:tabs>
        <w:spacing w:after="80" w:line="240" w:lineRule="auto"/>
        <w:ind w:left="567" w:hanging="567"/>
      </w:pPr>
      <w:r>
        <w:rPr>
          <w:rFonts w:ascii="Times New Roman" w:hAnsi="Times New Roman"/>
          <w:b w:val="0"/>
          <w:i w:val="0"/>
          <w:color w:val="000000"/>
          <w:sz w:val="22"/>
        </w:rPr>
        <w:t>[10]</w:t>
        <w:tab/>
      </w:r>
      <w:r>
        <w:rPr>
          <w:rFonts w:ascii="Times New Roman" w:hAnsi="Times New Roman"/>
          <w:b w:val="0"/>
          <w:i w:val="0"/>
          <w:color w:val="000000"/>
          <w:sz w:val="22"/>
        </w:rPr>
        <w:t>D. Aune, T. Norat, M. Leitzmann, S. Tonstad, and L. J. Vatten, "Physical activity and the risk of type 2 diabetes: A systematic review and dose-response meta-analysis," European J. Epidemiology, vol. 30, no. 7, pp. 529-542, 2015, doi: 10.1007/s10654-015-0056-z.</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8">
        <w:r>
          <w:rPr>
            <w:rFonts w:ascii="Times New Roman" w:hAnsi="Times New Roman" w:cs="Times New Roman"/>
            <w:color w:val="000000"/>
            <w:sz w:val="22"/>
          </w:rPr>
          <w:t xml:space="preserve">https://doi.org/10.1007/s10654-015-0056-z</w:t>
        </w:r>
      </w:hyperlink>
    </w:p>
    <w:p>
      <w:pPr>
        <w:tabs>
          <w:tab w:pos="567" w:val="left"/>
        </w:tabs>
        <w:spacing w:after="80" w:line="240" w:lineRule="auto"/>
        <w:ind w:left="567" w:hanging="567"/>
      </w:pPr>
      <w:r>
        <w:rPr>
          <w:rFonts w:ascii="Times New Roman" w:hAnsi="Times New Roman"/>
          <w:b w:val="0"/>
          <w:i w:val="0"/>
          <w:color w:val="000000"/>
          <w:sz w:val="22"/>
        </w:rPr>
        <w:t>[11]</w:t>
        <w:tab/>
      </w:r>
      <w:r>
        <w:rPr>
          <w:rFonts w:ascii="Times New Roman" w:hAnsi="Times New Roman"/>
          <w:b w:val="0"/>
          <w:i w:val="0"/>
          <w:color w:val="000000"/>
          <w:sz w:val="22"/>
        </w:rPr>
        <w:t>D. O. Baliunas et al., "Alcohol as a risk factor for type 2 diabetes: A systematic review and meta-analysis," Diabetes Care, vol. 32, no. 11, pp. 2123-2132, 2009, doi: 10.2337/dc09-0227.</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19">
        <w:r>
          <w:rPr>
            <w:rFonts w:ascii="Times New Roman" w:hAnsi="Times New Roman" w:cs="Times New Roman"/>
            <w:color w:val="000000"/>
            <w:sz w:val="22"/>
          </w:rPr>
          <w:t xml:space="preserve">https://doi.org/10.2337/dc09-0227</w:t>
        </w:r>
      </w:hyperlink>
    </w:p>
    <w:p>
      <w:pPr>
        <w:tabs>
          <w:tab w:pos="567" w:val="left"/>
        </w:tabs>
        <w:spacing w:after="80" w:line="240" w:lineRule="auto"/>
        <w:ind w:left="567" w:hanging="567"/>
      </w:pPr>
      <w:r>
        <w:rPr>
          <w:rFonts w:ascii="Times New Roman" w:hAnsi="Times New Roman"/>
          <w:b w:val="0"/>
          <w:i w:val="0"/>
          <w:color w:val="000000"/>
          <w:sz w:val="22"/>
        </w:rPr>
        <w:t>[12]</w:t>
        <w:tab/>
      </w:r>
      <w:r>
        <w:rPr>
          <w:rFonts w:ascii="Times New Roman" w:hAnsi="Times New Roman"/>
          <w:b w:val="0"/>
          <w:i w:val="0"/>
          <w:color w:val="000000"/>
          <w:sz w:val="22"/>
        </w:rPr>
        <w:t>Y. A. Adebisi et al., "Association between electronic cigarette use and prediabetes, diabetes, and insulin resistance: A systematic review and meta-analysis," Internal and Emergency Medicine, vol. 21, pp. 1879-1893, 2026, doi: 10.1007/s11739-026-04430-x.</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20">
        <w:r>
          <w:rPr>
            <w:rFonts w:ascii="Times New Roman" w:hAnsi="Times New Roman" w:cs="Times New Roman"/>
            <w:color w:val="000000"/>
            <w:sz w:val="22"/>
          </w:rPr>
          <w:t xml:space="preserve">https://doi.org/10.1007/s11739-026-04430-x</w:t>
        </w:r>
      </w:hyperlink>
    </w:p>
    <w:p>
      <w:pPr>
        <w:tabs>
          <w:tab w:pos="567" w:val="left"/>
        </w:tabs>
        <w:spacing w:after="80" w:line="240" w:lineRule="auto"/>
        <w:ind w:left="567" w:hanging="567"/>
      </w:pPr>
      <w:r>
        <w:rPr>
          <w:rFonts w:ascii="Times New Roman" w:hAnsi="Times New Roman"/>
          <w:b w:val="0"/>
          <w:i w:val="0"/>
          <w:color w:val="000000"/>
          <w:sz w:val="22"/>
        </w:rPr>
        <w:t>[13]</w:t>
        <w:tab/>
      </w:r>
      <w:r>
        <w:rPr>
          <w:rFonts w:ascii="Times New Roman" w:hAnsi="Times New Roman"/>
          <w:b w:val="0"/>
          <w:i w:val="0"/>
          <w:color w:val="000000"/>
          <w:sz w:val="22"/>
        </w:rPr>
        <w:t>M. Yu, X. Zhang, F. Lu, and L. Fang, "Depression and risk for diabetes: A meta-analysis," Canadian J. Diabetes, vol. 39, no. 4, pp. 266-272, 2015.</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21">
        <w:r>
          <w:rPr>
            <w:rFonts w:ascii="Times New Roman" w:hAnsi="Times New Roman" w:cs="Times New Roman"/>
            <w:color w:val="000000"/>
            <w:sz w:val="22"/>
          </w:rPr>
          <w:t xml:space="preserve">https://pubmed.ncbi.nlm.nih.gov/25773933/</w:t>
        </w:r>
      </w:hyperlink>
    </w:p>
    <w:p>
      <w:pPr>
        <w:tabs>
          <w:tab w:pos="567" w:val="left"/>
        </w:tabs>
        <w:spacing w:after="80" w:line="240" w:lineRule="auto"/>
        <w:ind w:left="567" w:hanging="567"/>
      </w:pPr>
      <w:r>
        <w:rPr>
          <w:rFonts w:ascii="Times New Roman" w:hAnsi="Times New Roman"/>
          <w:b w:val="0"/>
          <w:i w:val="0"/>
          <w:color w:val="000000"/>
          <w:sz w:val="22"/>
        </w:rPr>
        <w:t>[14]</w:t>
        <w:tab/>
      </w:r>
      <w:r>
        <w:rPr>
          <w:rFonts w:ascii="Times New Roman" w:hAnsi="Times New Roman"/>
          <w:b w:val="0"/>
          <w:i w:val="0"/>
          <w:color w:val="000000"/>
          <w:sz w:val="22"/>
        </w:rPr>
        <w:t>S. Kaufman, S. Rosset, C. Perlich, and O. Stitelman, "Leakage in data mining: Formulation, detection, and avoidance," ACM Trans. Knowl. Discov. Data, vol. 6, no. 4, Art. no. 15, 2012, doi: 10.1145/2382577.2382579.</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22">
        <w:r>
          <w:rPr>
            <w:rFonts w:ascii="Times New Roman" w:hAnsi="Times New Roman" w:cs="Times New Roman"/>
            <w:color w:val="000000"/>
            <w:sz w:val="22"/>
          </w:rPr>
          <w:t xml:space="preserve">https://doi.org/10.1145/2382577.2382579</w:t>
        </w:r>
      </w:hyperlink>
    </w:p>
    <w:p>
      <w:pPr>
        <w:tabs>
          <w:tab w:pos="567" w:val="left"/>
        </w:tabs>
        <w:spacing w:after="80" w:line="240" w:lineRule="auto"/>
        <w:ind w:left="567" w:hanging="567"/>
      </w:pPr>
      <w:r>
        <w:rPr>
          <w:rFonts w:ascii="Times New Roman" w:hAnsi="Times New Roman"/>
          <w:b w:val="0"/>
          <w:i w:val="0"/>
          <w:color w:val="000000"/>
          <w:sz w:val="22"/>
        </w:rPr>
        <w:t>[15]</w:t>
        <w:tab/>
      </w:r>
      <w:r>
        <w:rPr>
          <w:rFonts w:ascii="Times New Roman" w:hAnsi="Times New Roman"/>
          <w:b w:val="0"/>
          <w:i w:val="0"/>
          <w:color w:val="000000"/>
          <w:sz w:val="22"/>
        </w:rPr>
        <w:t>H. Kim, P. Rogers, and D. Wang, "Machine learning models for chronic disease risks using complex survey data: The impact of sample weights," Frontiers in Digital Health, vol. 8, Art. no. 1834715, 2026, doi: 10.3389/fdgth.2026.1834715.</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23">
        <w:r>
          <w:rPr>
            <w:rFonts w:ascii="Times New Roman" w:hAnsi="Times New Roman" w:cs="Times New Roman"/>
            <w:color w:val="000000"/>
            <w:sz w:val="22"/>
          </w:rPr>
          <w:t xml:space="preserve">https://doi.org/10.3389/fdgth.2026.1834715</w:t>
        </w:r>
      </w:hyperlink>
    </w:p>
    <w:p>
      <w:pPr>
        <w:tabs>
          <w:tab w:pos="567" w:val="left"/>
        </w:tabs>
        <w:spacing w:after="80" w:line="240" w:lineRule="auto"/>
        <w:ind w:left="567" w:hanging="567"/>
      </w:pPr>
      <w:r>
        <w:rPr>
          <w:rFonts w:ascii="Times New Roman" w:hAnsi="Times New Roman"/>
          <w:b w:val="0"/>
          <w:i w:val="0"/>
          <w:color w:val="000000"/>
          <w:sz w:val="22"/>
        </w:rPr>
        <w:t>[16]</w:t>
        <w:tab/>
      </w:r>
      <w:r>
        <w:rPr>
          <w:rFonts w:ascii="Times New Roman" w:hAnsi="Times New Roman"/>
          <w:b w:val="0"/>
          <w:i w:val="0"/>
          <w:color w:val="000000"/>
          <w:sz w:val="22"/>
        </w:rPr>
        <w:t>T. Saito and M. Rehmsmeier, "The precision-recall plot is more informative than the ROC plot when evaluating binary classifiers on imbalanced datasets," PLoS ONE, vol. 10, no. 3, Art. no. e0118432, 2015, doi: 10.1371/journal.pone.0118432.</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24">
        <w:r>
          <w:rPr>
            <w:rFonts w:ascii="Times New Roman" w:hAnsi="Times New Roman" w:cs="Times New Roman"/>
            <w:color w:val="000000"/>
            <w:sz w:val="22"/>
          </w:rPr>
          <w:t xml:space="preserve">https://doi.org/10.1371/journal.pone.0118432</w:t>
        </w:r>
      </w:hyperlink>
    </w:p>
    <w:p>
      <w:pPr>
        <w:tabs>
          <w:tab w:pos="567" w:val="left"/>
        </w:tabs>
        <w:spacing w:after="80" w:line="240" w:lineRule="auto"/>
        <w:ind w:left="567" w:hanging="567"/>
      </w:pPr>
      <w:r>
        <w:rPr>
          <w:rFonts w:ascii="Times New Roman" w:hAnsi="Times New Roman"/>
          <w:b w:val="0"/>
          <w:i w:val="0"/>
          <w:color w:val="000000"/>
          <w:sz w:val="22"/>
        </w:rPr>
        <w:t>[17]</w:t>
        <w:tab/>
      </w:r>
      <w:r>
        <w:rPr>
          <w:rFonts w:ascii="Times New Roman" w:hAnsi="Times New Roman"/>
          <w:b w:val="0"/>
          <w:i w:val="0"/>
          <w:color w:val="000000"/>
          <w:sz w:val="22"/>
        </w:rPr>
        <w:t>B. Van Calster, D. J. McLernon, M. van Smeden, L. Wynants, and E. W. Steyerberg, "Calibration: The Achilles heel of predictive analytics," BMC Medicine, vol. 17, Art. no. 230, 2019, doi: 10.1186/s12916-019-1466-7.</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25">
        <w:r>
          <w:rPr>
            <w:rFonts w:ascii="Times New Roman" w:hAnsi="Times New Roman" w:cs="Times New Roman"/>
            <w:color w:val="000000"/>
            <w:sz w:val="22"/>
          </w:rPr>
          <w:t xml:space="preserve">https://doi.org/10.1186/s12916-019-1466-7</w:t>
        </w:r>
      </w:hyperlink>
    </w:p>
    <w:p>
      <w:pPr>
        <w:tabs>
          <w:tab w:pos="567" w:val="left"/>
        </w:tabs>
        <w:spacing w:after="80" w:line="240" w:lineRule="auto"/>
        <w:ind w:left="567" w:hanging="567"/>
      </w:pPr>
      <w:r>
        <w:rPr>
          <w:rFonts w:ascii="Times New Roman" w:hAnsi="Times New Roman"/>
          <w:b w:val="0"/>
          <w:i w:val="0"/>
          <w:color w:val="000000"/>
          <w:sz w:val="22"/>
        </w:rPr>
        <w:t>[18]</w:t>
        <w:tab/>
      </w:r>
      <w:r>
        <w:rPr>
          <w:rFonts w:ascii="Times New Roman" w:hAnsi="Times New Roman"/>
          <w:b w:val="0"/>
          <w:i w:val="0"/>
          <w:color w:val="000000"/>
          <w:sz w:val="22"/>
        </w:rPr>
        <w:t>F. Pedregosa et al., "Scikit-learn: Machine learning in Python," J. Machine Learning Research, vol. 12, pp. 2825-2830, 2011.</w:t>
      </w:r>
      <w:r>
        <w:rPr>
          <w:rFonts w:ascii="Times New Roman" w:hAnsi="Times New Roman"/>
          <w:b w:val="0"/>
          <w:i w:val="0"/>
          <w:color w:val="000000"/>
          <w:sz w:val="22"/>
        </w:rPr>
        <w:t xml:space="preserve"> [Online]. Available: </w:t>
      </w:r>
      <w:r>
        <w:rPr>
          <w:rFonts w:ascii="Times New Roman" w:hAnsi="Times New Roman"/>
          <w:b w:val="0"/>
          <w:i w:val="0"/>
          <w:color w:val="000000"/>
          <w:sz w:val="22"/>
        </w:rPr>
      </w:r>
      <w:hyperlink r:id="rId26">
        <w:r>
          <w:rPr>
            <w:rFonts w:ascii="Times New Roman" w:hAnsi="Times New Roman" w:cs="Times New Roman"/>
            <w:color w:val="000000"/>
            <w:sz w:val="22"/>
          </w:rPr>
          <w:t xml:space="preserve">https://jmlr.org/papers/v12/pedregosa11a.html</w:t>
        </w:r>
      </w:hyperlink>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76"/>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150.statcan.gc.ca/n1/en/catalogue/82M0013X" TargetMode="External"/><Relationship Id="rId10" Type="http://schemas.openxmlformats.org/officeDocument/2006/relationships/hyperlink" Target="https://doi.org/10.1136/bmj.d7163" TargetMode="External"/><Relationship Id="rId11" Type="http://schemas.openxmlformats.org/officeDocument/2006/relationships/hyperlink" Target="https://doi.org/10.1186/1741-7015-9-103" TargetMode="External"/><Relationship Id="rId12" Type="http://schemas.openxmlformats.org/officeDocument/2006/relationships/hyperlink" Target="https://doi.org/10.5812/ijem.109206" TargetMode="External"/><Relationship Id="rId13" Type="http://schemas.openxmlformats.org/officeDocument/2006/relationships/hyperlink" Target="https://doi.org/10.1016/j.ijmedinf.2020.104268" TargetMode="External"/><Relationship Id="rId14" Type="http://schemas.openxmlformats.org/officeDocument/2006/relationships/hyperlink" Target="https://doi.org/10.1136/jech.2009.102244" TargetMode="External"/><Relationship Id="rId15" Type="http://schemas.openxmlformats.org/officeDocument/2006/relationships/hyperlink" Target="https://doi.org/10.3389/ijph.2024.1607060" TargetMode="External"/><Relationship Id="rId16" Type="http://schemas.openxmlformats.org/officeDocument/2006/relationships/hyperlink" Target="https://pubmed.ncbi.nlm.nih.gov/20724018/" TargetMode="External"/><Relationship Id="rId17" Type="http://schemas.openxmlformats.org/officeDocument/2006/relationships/hyperlink" Target="https://doi.org/10.1016/S2213-8587(15)00316-2" TargetMode="External"/><Relationship Id="rId18" Type="http://schemas.openxmlformats.org/officeDocument/2006/relationships/hyperlink" Target="https://doi.org/10.1007/s10654-015-0056-z" TargetMode="External"/><Relationship Id="rId19" Type="http://schemas.openxmlformats.org/officeDocument/2006/relationships/hyperlink" Target="https://doi.org/10.2337/dc09-0227" TargetMode="External"/><Relationship Id="rId20" Type="http://schemas.openxmlformats.org/officeDocument/2006/relationships/hyperlink" Target="https://doi.org/10.1007/s11739-026-04430-x" TargetMode="External"/><Relationship Id="rId21" Type="http://schemas.openxmlformats.org/officeDocument/2006/relationships/hyperlink" Target="https://pubmed.ncbi.nlm.nih.gov/25773933/" TargetMode="External"/><Relationship Id="rId22" Type="http://schemas.openxmlformats.org/officeDocument/2006/relationships/hyperlink" Target="https://doi.org/10.1145/2382577.2382579" TargetMode="External"/><Relationship Id="rId23" Type="http://schemas.openxmlformats.org/officeDocument/2006/relationships/hyperlink" Target="https://doi.org/10.3389/fdgth.2026.1834715" TargetMode="External"/><Relationship Id="rId24" Type="http://schemas.openxmlformats.org/officeDocument/2006/relationships/hyperlink" Target="https://doi.org/10.1371/journal.pone.0118432" TargetMode="External"/><Relationship Id="rId25" Type="http://schemas.openxmlformats.org/officeDocument/2006/relationships/hyperlink" Target="https://doi.org/10.1186/s12916-019-1466-7" TargetMode="External"/><Relationship Id="rId26" Type="http://schemas.openxmlformats.org/officeDocument/2006/relationships/hyperlink" Target="https://jmlr.org/papers/v12/pedregosa11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Classifying Reported Diabetes Status in the CCHS 2022: A Literature Review on Predictor Choice and Model Evaluation</dc:title>
  <dc:subject/>
  <dc:creator>Peeyusha Patki</dc:creator>
  <cp:keywords/>
  <dc:description/>
  <cp:lastModifiedBy>Peeyusha Patki</cp:lastModifiedBy>
  <cp:revision>1</cp:revision>
  <dcterms:created xsi:type="dcterms:W3CDTF">2013-12-23T23:15:00Z</dcterms:created>
  <dcterms:modified xsi:type="dcterms:W3CDTF">2013-12-23T23:15:00Z</dcterms:modified>
  <cp:category/>
</cp:coreProperties>
</file>