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Toronto DineSafe Inspection Prediction</w:t>
        <w:br/>
        <w:t>Literature and Prior-Art Review</w:t>
      </w:r>
    </w:p>
    <w:p>
      <w:pPr>
        <w:jc w:val="center"/>
      </w:pPr>
      <w:r>
        <w:rPr>
          <w:i/>
        </w:rPr>
        <w:t>IEEE-style bibliography and research-design memo</w:t>
        <w:br/>
        <w:t>Prepared from the prior DineSafe review and follow-up source verification</w:t>
      </w:r>
    </w:p>
    <w:p>
      <w:r>
        <w:rPr>
          <w:b/>
        </w:rPr>
        <w:t xml:space="preserve">Evidence standard. </w:t>
      </w:r>
      <w:r>
        <w:t>This document separates (1) findings from the user’s actual DineSafe file audit, (2) official Toronto documentation, (3) peer-reviewed or scholarly publications, (4) technical/project reports, and (5) methodological inference. Claims are not presented as established literature findings unless supported by a cited source. The later 2026 web check is incorporated where it materially changes the prior-art assessment.</w:t>
      </w:r>
    </w:p>
    <w:p>
      <w:pPr>
        <w:pStyle w:val="Heading1"/>
      </w:pPr>
      <w:r>
        <w:t>1. Current DineSafe Dataset Context</w:t>
      </w:r>
    </w:p>
    <w:p>
      <w:r>
        <w:t>The current DineSafe CSV was audited before modelling. The audit found 18,898 establishments, 115,899 raw infraction-level rows, and 77,475 distinct inspections after grouping by establishment ID and inspection date. There are 15,731 establishments with at least two inspections and 58,577 previous-inspection to next-inspection pairs. The median time between inspections is 141 days. The current file covers approximately November 10, 2023 through September 8, 2026.</w:t>
      </w:r>
    </w:p>
    <w:p>
      <w:r>
        <w:t>Inspection outcomes in the audited file are approximately 93.7% Pass, 6.2% Conditional Pass, and 0.1% Closed (64 cases). These proportions are dataset findings, not literature estimates. The audit also found 3,167 establishments with only one observed inspection in the available window. An identity-resolution issue exists because 804 of 15,944 oldEstId values map to more than one current estId; the conservative working rule is to use current estId as the canonical entity and not merge histories across ownership/name changes.</w:t>
      </w:r>
    </w:p>
    <w:p>
      <w:r>
        <w:t>The raw dataset is at the infraction-row level, so the analytical unit for the proposed study should be an inspection event. Any prediction of inspection t+1 must be constructed using only information available by inspection t. This temporal framing is an explicit methodological design choice for this project.</w:t>
      </w:r>
    </w:p>
    <w:p>
      <w:pPr>
        <w:pStyle w:val="Heading1"/>
      </w:pPr>
      <w:r>
        <w:t>2. Executive Verdict</w:t>
      </w:r>
    </w:p>
    <w:p>
      <w:r>
        <w:t>The broad problem is established: machine learning and statistical models have already been used to forecast restaurant inspection violations, predict food-safety compliance, identify likely unsafe establishments, and support risk-based inspection scheduling [1]–[8]. The strongest prior-art warning for this project is Chicago, where an operational system used prior inspection history and other pre-inspection data to prioritize inspections for likely critical violations [1], followed by an independent analysis of that system [2]. A 2021 England-and-Wales study also used machine learning to predict non-compliant food outlets [4].</w:t>
      </w:r>
    </w:p>
    <w:p>
      <w:r>
        <w:t>The Toronto-specific situation is different. The source review located prior DineSafe analyses concerning the placard system and comparisons of Toronto and Vancouver inspection infractions, but did not locate a peer-reviewed or scholarly predictive model of future DineSafe inspection outcomes. Toronto therefore offers a new empirical case, but “new city + standard model” should not be described as algorithmic novelty [9], [10].</w:t>
      </w:r>
    </w:p>
    <w:p>
      <w:r>
        <w:t>The most important update from the later search is that food-inspection prediction has continued to move forward in 2026. A new study using New York State inspection data combines structured inspection information and narrative deficiencies with transformer models and SHAP-based explanation [11]. Another 2026 study applies a Bayesian network to official food controls in Italy to predict the most probable non-compliance type [12]. A Chicago-based study published online in 2026 likewise evaluates restaurant inspection outcomes with logistic regression and CatBoost over more than 160,000 inspections [13]. These papers make a “machine learning can predict food inspection outcomes” framing even less distinctive.</w:t>
      </w:r>
    </w:p>
    <w:p>
      <w:r>
        <w:t>Therefore, the defensible project is not “Can ML predict restaurant inspections?” It is a narrower empirical question about the value and stability of longitudinal inspection history in predicting the next observed DineSafe outcome, with operational prioritization treated as a secondary interpretation rather than as a causal claim. A strong working formulation is: “How much does longitudinal inspection history improve prediction of an establishment’s next DineSafe inspection outcome, and how does the amount and recency of available history affect predictive performance?”</w:t>
      </w:r>
    </w:p>
    <w:p>
      <w:pPr>
        <w:pStyle w:val="Heading1"/>
      </w:pPr>
      <w:r>
        <w:t>3. Full Literature Review</w:t>
      </w:r>
    </w:p>
    <w:p>
      <w:pPr>
        <w:pStyle w:val="Heading2"/>
      </w:pPr>
      <w:r>
        <w:t>3.1 Risk-based food inspection and the motivation for prediction</w:t>
      </w:r>
    </w:p>
    <w:p>
      <w:r>
        <w:t>Food inspection systems are inherently prioritization systems. Health departments have limited personnel and cannot treat every establishment as equally likely to produce a serious problem. Hartman’s 2020 review describes the long-standing use of risk classification and more refined predictive models based on inspection history and other factors to improve inspection scheduling [6]. This provides the policy background for using predictive analytics as decision support rather than as a replacement for inspectors.</w:t>
      </w:r>
    </w:p>
    <w:p>
      <w:r>
        <w:t>The practical appeal of prediction is therefore not simply a high classification score. The relevant question is whether a predictive ranking can identify a greater share of important problems earlier or within a constrained inspection budget. Chicago is the clearest prior example in this literature: the city built a forecasting model for critical violations and evaluated it in the context of inspection prioritization [1]. This is important for DineSafe because it means that “prediction + prioritization” is not, by itself, a new research contribution.</w:t>
      </w:r>
    </w:p>
    <w:p>
      <w:pPr>
        <w:pStyle w:val="Heading2"/>
      </w:pPr>
      <w:r>
        <w:t>3.2 Chicago: future inspection prediction and operational prioritization</w:t>
      </w:r>
    </w:p>
    <w:p>
      <w:r>
        <w:t>Schenk et al. developed the Chicago “Forecasting Restaurants with Critical Violations” model using routine food-inspection history together with business-license, neighborhood, weather, and related administrative information [1]. The project report describes approximately 100,000 routine inspection records and about 15,000 establishments in the modelling context. Predictors included the previous inspection outcome, previous serious and critical violations, time since the last inspection, facility type, licensing information, nearby 311 activity, and weather. The model used regularized logistic modelling (glmnet/elastic-net style).</w:t>
      </w:r>
    </w:p>
    <w:p>
      <w:r>
        <w:t>The key result was operational rather than purely statistical. During the pilot, the risk-based schedule found 69% of critical violations in the first half of the simulated re-scheduling period, compared with 55% under the prior approach, and the report describes an average reduction in time to discovery of about 7.5 days [1]. The project therefore demonstrated a full chain from historical administrative data to prediction to scheduling. Any DineSafe study proposing a similar workflow must acknowledge this precedent.</w:t>
      </w:r>
    </w:p>
    <w:p>
      <w:r>
        <w:t>There is also an important limitation that directly matters to our design. The Chicago project states that it relied on an assumption that finding a critical violation was effectively time-invariant during its short pilot window; the authors note that they could not directly test whether a restaurant found with a violation later would also have been found earlier. This weakens any causal interpretation of “days saved.” For DineSafe, a scheduling simulation should therefore be presented as a scenario analysis under explicit assumptions, not as evidence that a deployed algorithm would truly cause earlier detection.</w:t>
      </w:r>
    </w:p>
    <w:p>
      <w:pPr>
        <w:pStyle w:val="Heading2"/>
      </w:pPr>
      <w:r>
        <w:t>3.3 Independent analysis of the Chicago model</w:t>
      </w:r>
    </w:p>
    <w:p>
      <w:r>
        <w:t>Kannan, Shapiro, and Bilgic independently analyzed the Chicago forecasting system in “Hindsight Analysis of the Chicago Food Inspection Forecasting Model” [2]. Their work is valuable not because it proposes a new production system, but because it examines the underlying data, predictor variables, performance metrics, and assumptions of an already-deployed public-sector model. The paper confirms the key temporal structure: the model used information available before a future inspection and was evaluated using an official held-out time period.</w:t>
      </w:r>
    </w:p>
    <w:p>
      <w:r>
        <w:t>For DineSafe, this is a methodological lesson. It is not enough to construct lag features after randomly splitting inspection rows. A future-prediction claim requires a data-generating order in which the feature vector could genuinely have existed before the target inspection. The same establishment may legitimately appear in both training and test data when the training observations are earlier inspections and the test observations are later inspections; what matters is temporal direction, not artificial separation of every establishment.</w:t>
      </w:r>
    </w:p>
    <w:p>
      <w:pPr>
        <w:pStyle w:val="Heading2"/>
      </w:pPr>
      <w:r>
        <w:t>3.4 England and Wales: predicting compliance with machine learning</w:t>
      </w:r>
    </w:p>
    <w:p>
      <w:r>
        <w:t>Oldroyd, Morris, and Birkin studied food-safety compliance in England and Wales using the Food Hygiene Rating Scheme (FHRS) [4]. Their 2021 machine-learning study focused on non-compliance among food outlets and combined business characteristics with neighborhood and demographic information. The study used Random Forest models with SMOTE-based class balancing and reported sensitivity around 0.843, specificity around 0.745, and precision around 0.274 for one model configuration [4].</w:t>
      </w:r>
    </w:p>
    <w:p>
      <w:r>
        <w:t>The study is relevant but not identical to DineSafe. It is oriented toward compliance classification and uses spatial context heavily. The analysis does not establish that a full longitudinal next-inspection model is novel. Instead, it strengthens the prior-art conclusion that binary food-safety compliance prediction, rare-event imbalance, spatial context, and inspection prioritization have already been studied in multiple settings.</w:t>
      </w:r>
    </w:p>
    <w:p>
      <w:pPr>
        <w:pStyle w:val="Heading2"/>
      </w:pPr>
      <w:r>
        <w:t>3.5 Neighborhood determinants of food-safety compliance</w:t>
      </w:r>
    </w:p>
    <w:p>
      <w:r>
        <w:t>A related study by Oldroyd, Morris, and Birkin examined neighborhood determinants of non-compliant food establishments in England and Wales using logistic regression [3]. It found an association between area deprivation and the probability of meeting hygiene standards, and it examined demographic, urbanity, and business-type factors. This work is not a next-inspection forecasting model, but it is important for DineSafe because it shows that static spatial characteristics can carry predictive or explanatory signal.</w:t>
      </w:r>
    </w:p>
    <w:p>
      <w:r>
        <w:t>This creates a useful design question for DineSafe: if the model performs well, how much of the signal comes from persistent establishment or location characteristics versus recent inspection history? That comparison is more scientifically interesting than simply training a larger model. It can be framed as a feature-set ablation problem: history-only, static-only, and combined models under the same temporal evaluation design.</w:t>
      </w:r>
    </w:p>
    <w:p>
      <w:pPr>
        <w:pStyle w:val="Heading2"/>
      </w:pPr>
      <w:r>
        <w:t>3.6 Earlier U.S. work and the long history of lagged inspection information</w:t>
      </w:r>
    </w:p>
    <w:p>
      <w:r>
        <w:t>Earlier work predates modern machine-learning practice but establishes that inspection history has long been used to predict later compliance problems. Hartman’s 1992 Ohio State master’s thesis developed a computer model to identify risk markers for food-service sanitation violations associated with foodborne-illness outbreaks [5]. The prior DineSafe review also identified an early Columbus, Ohio line of work using prior inspection scores and trends to identify restaurants likely to experience violations. These studies matter mainly as historical precedent: using lagged inspection outcomes to predict later inspection problems is not a new idea.</w:t>
      </w:r>
    </w:p>
    <w:p>
      <w:pPr>
        <w:pStyle w:val="Heading2"/>
      </w:pPr>
      <w:r>
        <w:t>3.7 Social and digital signals: FINDER and inspection targeting</w:t>
      </w:r>
    </w:p>
    <w:p>
      <w:r>
        <w:t>Sadilek et al. developed FINDER, a machine-learned epidemiological system using aggregated web-search and location data to identify restaurants associated with foodborne-illness signals [7]. In field experiments in two U.S. cities, restaurants identified by FINDER were substantially more likely to be deemed unsafe during inspection than comparison groups. The published article reports an odds ratio of approximately 3.06 against a baseline after accounting for city and risk level, and approximately 3.16 relative to routine inspections in the analysis presented [7].</w:t>
      </w:r>
    </w:p>
    <w:p>
      <w:r>
        <w:t>FINDER is not a DineSafe inspection-history model, so it should not be treated as direct prior art for the proposed target. Its value is conceptual: predictive screening can be useful when the model is embedded into an inspection workflow. It also highlights the difference between predicting inspection outcomes and detecting foodborne illness itself. DineSafe should not claim to predict actual illness incidence; it predicts a regulatory inspection result.</w:t>
      </w:r>
    </w:p>
    <w:p>
      <w:pPr>
        <w:pStyle w:val="Heading2"/>
      </w:pPr>
      <w:r>
        <w:t>3.8 2020 review of predictive inspection models</w:t>
      </w:r>
    </w:p>
    <w:p>
      <w:r>
        <w:t>Hartman’s “Predictive Models for Food Code Violations” synthesizes risk classification, inspection-history modelling, foodborne-illness signals, and emerging digital approaches [6]. The review is particularly useful for framing the field: predictive inspection modelling is not a new research niche, and the practical problem has long been described as one of finding food-safety problems earlier while working within finite inspection resources.</w:t>
      </w:r>
    </w:p>
    <w:p>
      <w:r>
        <w:t>Important bibliography correction: an earlier draft of our internal review attributed this 2020 Food Protection Trends article to “Kincaid et al.” The publisher’s current bibliographic record identifies Jim Hartman as the author. The reference list below therefore uses Hartman [6].</w:t>
      </w:r>
    </w:p>
    <w:p>
      <w:pPr>
        <w:pStyle w:val="Heading2"/>
      </w:pPr>
      <w:r>
        <w:t>3.9 Toronto DineSafe scholarship and public analyses</w:t>
      </w:r>
    </w:p>
    <w:p>
      <w:r>
        <w:t>The Toronto-specific source review did not identify a published predictive ML model for future DineSafe outcomes. Instead, the located scholarly work is mainly descriptive or evaluative. Besharah and Heacock evaluated the DineSafe placard system using DineSafe inspection data from 2004–2006 and 2012–2014 and examined the recurrence of Conditional Pass outcomes [9]. Their work is directly relevant to the public-health and regulatory context, but it is not a machine-learning forecast of future inspection results.</w:t>
      </w:r>
    </w:p>
    <w:p>
      <w:r>
        <w:t>Thandi’s 2021 BCIT study statistically compared restaurant infractions between downtown Toronto and downtown Vancouver using 200 routine inspection reports from 200 restaurants [10]. It found statistically significant differences in the number of combined, crucial/critical, and minor/non-critical infractions between the two cities. Again, this is relevant evidence that DineSafe has been analyzed academically, but it is not prior art for next-inspection prediction.</w:t>
      </w:r>
    </w:p>
    <w:p>
      <w:r>
        <w:t>The practical implication is that Toronto-specific descriptive work exists, so the novelty statement should not be “nobody has studied DineSafe.” A defensible statement is narrower: the review located Toronto-specific descriptive/evaluative work but did not locate a scholarly study that evaluates leakage-safe prediction of future DineSafe inspection outcomes using longitudinal inspection history.</w:t>
      </w:r>
    </w:p>
    <w:p>
      <w:pPr>
        <w:pStyle w:val="Heading2"/>
      </w:pPr>
      <w:r>
        <w:t>3.10 2026 update: inspection prediction is becoming more sophisticated</w:t>
      </w:r>
    </w:p>
    <w:p>
      <w:r>
        <w:t>The follow-up web search found three particularly relevant 2026 developments. First, Sari, Bader-El-Den, and Ince proposed an explainable transformer-based framework using New York State inspection data, combining structured inspection metadata with unstructured deficiency narratives. Their comparison included classical ML, BiLSTM, and transformer models; RoBERTa achieved the highest reported F1 score of 0.96 in that study [11]. This moves the literature beyond simple tabular classifiers and shows that multimodal inspection data are now being used for predictive and explainable food-safety modelling.</w:t>
      </w:r>
    </w:p>
    <w:p>
      <w:r>
        <w:t>Second, Nalbone et al. developed a Bayesian Network using official-control data from the Local Health Authority of Messina in Italy to predict the most probable type of non-compliance [12]. The study used 588 official controls from 101 establishments between 2018 and 2021 for model development and separately validated the model on 25 non-compliance events from 2024. This reinforces the use of predictive models not only for pass/non-pass status but also for prioritization and specific non-compliance types.</w:t>
      </w:r>
    </w:p>
    <w:p>
      <w:r>
        <w:t>Third, Okumus, Mugaloglu, and Koçak published a Chicago study using more than 160,000 restaurant inspections from 2010–2024, analysing inspection-type, risk, re-inspection, and temporal predictors with logistic regression and CatBoost [13]. The study reports that CatBoost outperformed logistic regression, particularly for nonlinear interactions, and uses SHAP values for interpretation. Although the article appears in the 2027 volume of the International Journal of Hospitality Management, the DOI record and online publication evidence place its publication online in 2026 [13].</w:t>
      </w:r>
    </w:p>
    <w:p>
      <w:r>
        <w:t>Together, these newer studies make the novelty boundary clearer: neither “use ML on food inspections” nor “use interpretable ML on restaurant inspection outcomes” is new. A defensible undergraduate contribution must instead come from the precise scientific question, the temporal design, the comparison of information sources, and the empirical findings on Toronto data.</w:t>
      </w:r>
    </w:p>
    <w:p>
      <w:pPr>
        <w:pStyle w:val="Heading1"/>
      </w:pPr>
      <w:r>
        <w:t>4. Prior-Art Comparison Table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rFonts w:ascii="Arial" w:hAnsi="Arial"/>
                <w:b/>
                <w:sz w:val="16"/>
              </w:rPr>
              <w:t>Study</w:t>
            </w:r>
          </w:p>
        </w:tc>
        <w:tc>
          <w:tcPr>
            <w:tcW w:type="dxa" w:w="1242"/>
            <w:vAlign w:val="center"/>
          </w:tcPr>
          <w:p>
            <w:r>
              <w:rPr>
                <w:rFonts w:ascii="Arial" w:hAnsi="Arial"/>
                <w:b/>
                <w:sz w:val="16"/>
              </w:rPr>
              <w:t>Year</w:t>
            </w:r>
          </w:p>
        </w:tc>
        <w:tc>
          <w:tcPr>
            <w:tcW w:type="dxa" w:w="1242"/>
            <w:vAlign w:val="center"/>
          </w:tcPr>
          <w:p>
            <w:r>
              <w:rPr>
                <w:rFonts w:ascii="Arial" w:hAnsi="Arial"/>
                <w:b/>
                <w:sz w:val="16"/>
              </w:rPr>
              <w:t>Setting / data</w:t>
            </w:r>
          </w:p>
        </w:tc>
        <w:tc>
          <w:tcPr>
            <w:tcW w:type="dxa" w:w="1242"/>
            <w:vAlign w:val="center"/>
          </w:tcPr>
          <w:p>
            <w:r>
              <w:rPr>
                <w:rFonts w:ascii="Arial" w:hAnsi="Arial"/>
                <w:b/>
                <w:sz w:val="16"/>
              </w:rPr>
              <w:t>Target</w:t>
            </w:r>
          </w:p>
        </w:tc>
        <w:tc>
          <w:tcPr>
            <w:tcW w:type="dxa" w:w="1242"/>
            <w:vAlign w:val="center"/>
          </w:tcPr>
          <w:p>
            <w:r>
              <w:rPr>
                <w:rFonts w:ascii="Arial" w:hAnsi="Arial"/>
                <w:b/>
                <w:sz w:val="16"/>
              </w:rPr>
              <w:t>Future-oriented?</w:t>
            </w:r>
          </w:p>
        </w:tc>
        <w:tc>
          <w:tcPr>
            <w:tcW w:type="dxa" w:w="1242"/>
            <w:vAlign w:val="center"/>
          </w:tcPr>
          <w:p>
            <w:r>
              <w:rPr>
                <w:rFonts w:ascii="Arial" w:hAnsi="Arial"/>
                <w:b/>
                <w:sz w:val="16"/>
              </w:rPr>
              <w:t>Key features / methods</w:t>
            </w:r>
          </w:p>
        </w:tc>
        <w:tc>
          <w:tcPr>
            <w:tcW w:type="dxa" w:w="1242"/>
            <w:vAlign w:val="center"/>
          </w:tcPr>
          <w:p>
            <w:r>
              <w:rPr>
                <w:rFonts w:ascii="Arial" w:hAnsi="Arial"/>
                <w:b/>
                <w:sz w:val="16"/>
              </w:rPr>
              <w:t>Validation / key result</w:t>
            </w:r>
          </w:p>
        </w:tc>
        <w:tc>
          <w:tcPr>
            <w:tcW w:type="dxa" w:w="1242"/>
            <w:vAlign w:val="center"/>
          </w:tcPr>
          <w:p>
            <w:r>
              <w:rPr>
                <w:rFonts w:ascii="Arial" w:hAnsi="Arial"/>
                <w:b/>
                <w:sz w:val="16"/>
              </w:rPr>
              <w:t>Relevance</w:t>
            </w:r>
          </w:p>
        </w:tc>
      </w:tr>
      <w:tr>
        <w:tc>
          <w:tcPr>
            <w:tcW w:type="dxa" w:w="1242"/>
            <w:vAlign w:val="top"/>
          </w:tcPr>
          <w:p>
            <w:r>
              <w:rPr>
                <w:rFonts w:ascii="Arial" w:hAnsi="Arial"/>
                <w:sz w:val="16"/>
              </w:rPr>
              <w:t>Schenk et al. [1]</w:t>
            </w:r>
          </w:p>
        </w:tc>
        <w:tc>
          <w:tcPr>
            <w:tcW w:type="dxa" w:w="1242"/>
            <w:vAlign w:val="top"/>
          </w:tcPr>
          <w:p>
            <w:r>
              <w:rPr>
                <w:rFonts w:ascii="Arial" w:hAnsi="Arial"/>
                <w:sz w:val="16"/>
              </w:rPr>
              <w:t>2015</w:t>
            </w:r>
          </w:p>
        </w:tc>
        <w:tc>
          <w:tcPr>
            <w:tcW w:type="dxa" w:w="1242"/>
            <w:vAlign w:val="top"/>
          </w:tcPr>
          <w:p>
            <w:r>
              <w:rPr>
                <w:rFonts w:ascii="Arial" w:hAnsi="Arial"/>
                <w:sz w:val="16"/>
              </w:rPr>
              <w:t>Chicago; ~100k routine inspections; ~15k establishments</w:t>
            </w:r>
          </w:p>
        </w:tc>
        <w:tc>
          <w:tcPr>
            <w:tcW w:type="dxa" w:w="1242"/>
            <w:vAlign w:val="top"/>
          </w:tcPr>
          <w:p>
            <w:r>
              <w:rPr>
                <w:rFonts w:ascii="Arial" w:hAnsi="Arial"/>
                <w:sz w:val="16"/>
              </w:rPr>
              <w:t>Critical violation at future routine inspection</w:t>
            </w:r>
          </w:p>
        </w:tc>
        <w:tc>
          <w:tcPr>
            <w:tcW w:type="dxa" w:w="1242"/>
            <w:vAlign w:val="top"/>
          </w:tcPr>
          <w:p>
            <w:r>
              <w:rPr>
                <w:rFonts w:ascii="Arial" w:hAnsi="Arial"/>
                <w:sz w:val="16"/>
              </w:rPr>
              <w:t>Yes</w:t>
            </w:r>
          </w:p>
        </w:tc>
        <w:tc>
          <w:tcPr>
            <w:tcW w:type="dxa" w:w="1242"/>
            <w:vAlign w:val="top"/>
          </w:tcPr>
          <w:p>
            <w:r>
              <w:rPr>
                <w:rFonts w:ascii="Arial" w:hAnsi="Arial"/>
                <w:sz w:val="16"/>
              </w:rPr>
              <w:t>Past violations, prior outcome, days since inspection, licenses, 311, weather; elastic-net GLM</w:t>
            </w:r>
          </w:p>
        </w:tc>
        <w:tc>
          <w:tcPr>
            <w:tcW w:type="dxa" w:w="1242"/>
            <w:vAlign w:val="top"/>
          </w:tcPr>
          <w:p>
            <w:r>
              <w:rPr>
                <w:rFonts w:ascii="Arial" w:hAnsi="Arial"/>
                <w:sz w:val="16"/>
              </w:rPr>
              <w:t>Temporal holdout; 69% of criticals found in first half vs 55% baseline; ~7.5-day earlier detection reported</w:t>
            </w:r>
          </w:p>
        </w:tc>
        <w:tc>
          <w:tcPr>
            <w:tcW w:type="dxa" w:w="1242"/>
            <w:vAlign w:val="top"/>
          </w:tcPr>
          <w:p>
            <w:r>
              <w:rPr>
                <w:rFonts w:ascii="Arial" w:hAnsi="Arial"/>
                <w:sz w:val="16"/>
              </w:rPr>
              <w:t>Closest conceptual precedent; directly challenges novelty</w:t>
            </w:r>
          </w:p>
        </w:tc>
      </w:tr>
      <w:tr>
        <w:tc>
          <w:tcPr>
            <w:tcW w:type="dxa" w:w="1242"/>
            <w:vAlign w:val="top"/>
          </w:tcPr>
          <w:p>
            <w:r>
              <w:rPr>
                <w:rFonts w:ascii="Arial" w:hAnsi="Arial"/>
                <w:sz w:val="16"/>
              </w:rPr>
              <w:t>Kannan et al. [2]</w:t>
            </w:r>
          </w:p>
        </w:tc>
        <w:tc>
          <w:tcPr>
            <w:tcW w:type="dxa" w:w="1242"/>
            <w:vAlign w:val="top"/>
          </w:tcPr>
          <w:p>
            <w:r>
              <w:rPr>
                <w:rFonts w:ascii="Arial" w:hAnsi="Arial"/>
                <w:sz w:val="16"/>
              </w:rPr>
              <w:t>2019</w:t>
            </w:r>
          </w:p>
        </w:tc>
        <w:tc>
          <w:tcPr>
            <w:tcW w:type="dxa" w:w="1242"/>
            <w:vAlign w:val="top"/>
          </w:tcPr>
          <w:p>
            <w:r>
              <w:rPr>
                <w:rFonts w:ascii="Arial" w:hAnsi="Arial"/>
                <w:sz w:val="16"/>
              </w:rPr>
              <w:t>Chicago official forecasting system; released training/test data</w:t>
            </w:r>
          </w:p>
        </w:tc>
        <w:tc>
          <w:tcPr>
            <w:tcW w:type="dxa" w:w="1242"/>
            <w:vAlign w:val="top"/>
          </w:tcPr>
          <w:p>
            <w:r>
              <w:rPr>
                <w:rFonts w:ascii="Arial" w:hAnsi="Arial"/>
                <w:sz w:val="16"/>
              </w:rPr>
              <w:t>Critical violation</w:t>
            </w:r>
          </w:p>
        </w:tc>
        <w:tc>
          <w:tcPr>
            <w:tcW w:type="dxa" w:w="1242"/>
            <w:vAlign w:val="top"/>
          </w:tcPr>
          <w:p>
            <w:r>
              <w:rPr>
                <w:rFonts w:ascii="Arial" w:hAnsi="Arial"/>
                <w:sz w:val="16"/>
              </w:rPr>
              <w:t>Yes</w:t>
            </w:r>
          </w:p>
        </w:tc>
        <w:tc>
          <w:tcPr>
            <w:tcW w:type="dxa" w:w="1242"/>
            <w:vAlign w:val="top"/>
          </w:tcPr>
          <w:p>
            <w:r>
              <w:rPr>
                <w:rFonts w:ascii="Arial" w:hAnsi="Arial"/>
                <w:sz w:val="16"/>
              </w:rPr>
              <w:t>Inspection history, establishment attributes, environmental/contextual factors</w:t>
            </w:r>
          </w:p>
        </w:tc>
        <w:tc>
          <w:tcPr>
            <w:tcW w:type="dxa" w:w="1242"/>
            <w:vAlign w:val="top"/>
          </w:tcPr>
          <w:p>
            <w:r>
              <w:rPr>
                <w:rFonts w:ascii="Arial" w:hAnsi="Arial"/>
                <w:sz w:val="16"/>
              </w:rPr>
              <w:t>Independent analysis of held-out future inspections and assumptions</w:t>
            </w:r>
          </w:p>
        </w:tc>
        <w:tc>
          <w:tcPr>
            <w:tcW w:type="dxa" w:w="1242"/>
            <w:vAlign w:val="top"/>
          </w:tcPr>
          <w:p>
            <w:r>
              <w:rPr>
                <w:rFonts w:ascii="Arial" w:hAnsi="Arial"/>
                <w:sz w:val="16"/>
              </w:rPr>
              <w:t>Methodological precedent for careful temporal auditing</w:t>
            </w:r>
          </w:p>
        </w:tc>
      </w:tr>
      <w:tr>
        <w:tc>
          <w:tcPr>
            <w:tcW w:type="dxa" w:w="1242"/>
            <w:vAlign w:val="top"/>
          </w:tcPr>
          <w:p>
            <w:r>
              <w:rPr>
                <w:rFonts w:ascii="Arial" w:hAnsi="Arial"/>
                <w:sz w:val="16"/>
              </w:rPr>
              <w:t>Oldroyd et al. [3]</w:t>
            </w:r>
          </w:p>
        </w:tc>
        <w:tc>
          <w:tcPr>
            <w:tcW w:type="dxa" w:w="1242"/>
            <w:vAlign w:val="top"/>
          </w:tcPr>
          <w:p>
            <w:r>
              <w:rPr>
                <w:rFonts w:ascii="Arial" w:hAnsi="Arial"/>
                <w:sz w:val="16"/>
              </w:rPr>
              <w:t>2020</w:t>
            </w:r>
          </w:p>
        </w:tc>
        <w:tc>
          <w:tcPr>
            <w:tcW w:type="dxa" w:w="1242"/>
            <w:vAlign w:val="top"/>
          </w:tcPr>
          <w:p>
            <w:r>
              <w:rPr>
                <w:rFonts w:ascii="Arial" w:hAnsi="Arial"/>
                <w:sz w:val="16"/>
              </w:rPr>
              <w:t>England &amp; Wales FHRS + neighborhood data</w:t>
            </w:r>
          </w:p>
        </w:tc>
        <w:tc>
          <w:tcPr>
            <w:tcW w:type="dxa" w:w="1242"/>
            <w:vAlign w:val="top"/>
          </w:tcPr>
          <w:p>
            <w:r>
              <w:rPr>
                <w:rFonts w:ascii="Arial" w:hAnsi="Arial"/>
                <w:sz w:val="16"/>
              </w:rPr>
              <w:t>Non-compliant outlet</w:t>
            </w:r>
          </w:p>
        </w:tc>
        <w:tc>
          <w:tcPr>
            <w:tcW w:type="dxa" w:w="1242"/>
            <w:vAlign w:val="top"/>
          </w:tcPr>
          <w:p>
            <w:r>
              <w:rPr>
                <w:rFonts w:ascii="Arial" w:hAnsi="Arial"/>
                <w:sz w:val="16"/>
              </w:rPr>
              <w:t>No; association study</w:t>
            </w:r>
          </w:p>
        </w:tc>
        <w:tc>
          <w:tcPr>
            <w:tcW w:type="dxa" w:w="1242"/>
            <w:vAlign w:val="top"/>
          </w:tcPr>
          <w:p>
            <w:r>
              <w:rPr>
                <w:rFonts w:ascii="Arial" w:hAnsi="Arial"/>
                <w:sz w:val="16"/>
              </w:rPr>
              <w:t>Socio-demographic, urbanity, business type; logistic regression</w:t>
            </w:r>
          </w:p>
        </w:tc>
        <w:tc>
          <w:tcPr>
            <w:tcW w:type="dxa" w:w="1242"/>
            <w:vAlign w:val="top"/>
          </w:tcPr>
          <w:p>
            <w:r>
              <w:rPr>
                <w:rFonts w:ascii="Arial" w:hAnsi="Arial"/>
                <w:sz w:val="16"/>
              </w:rPr>
              <w:t>Association analysis; deprivation gradient</w:t>
            </w:r>
          </w:p>
        </w:tc>
        <w:tc>
          <w:tcPr>
            <w:tcW w:type="dxa" w:w="1242"/>
            <w:vAlign w:val="top"/>
          </w:tcPr>
          <w:p>
            <w:r>
              <w:rPr>
                <w:rFonts w:ascii="Arial" w:hAnsi="Arial"/>
                <w:sz w:val="16"/>
              </w:rPr>
              <w:t>Supports static/spatial feature hypothesis</w:t>
            </w:r>
          </w:p>
        </w:tc>
      </w:tr>
      <w:tr>
        <w:tc>
          <w:tcPr>
            <w:tcW w:type="dxa" w:w="1242"/>
            <w:vAlign w:val="top"/>
          </w:tcPr>
          <w:p>
            <w:r>
              <w:rPr>
                <w:rFonts w:ascii="Arial" w:hAnsi="Arial"/>
                <w:sz w:val="16"/>
              </w:rPr>
              <w:t>Oldroyd et al. [4]</w:t>
            </w:r>
          </w:p>
        </w:tc>
        <w:tc>
          <w:tcPr>
            <w:tcW w:type="dxa" w:w="1242"/>
            <w:vAlign w:val="top"/>
          </w:tcPr>
          <w:p>
            <w:r>
              <w:rPr>
                <w:rFonts w:ascii="Arial" w:hAnsi="Arial"/>
                <w:sz w:val="16"/>
              </w:rPr>
              <w:t>2021</w:t>
            </w:r>
          </w:p>
        </w:tc>
        <w:tc>
          <w:tcPr>
            <w:tcW w:type="dxa" w:w="1242"/>
            <w:vAlign w:val="top"/>
          </w:tcPr>
          <w:p>
            <w:r>
              <w:rPr>
                <w:rFonts w:ascii="Arial" w:hAnsi="Arial"/>
                <w:sz w:val="16"/>
              </w:rPr>
              <w:t>England &amp; Wales FHRS; ~92k test outlets</w:t>
            </w:r>
          </w:p>
        </w:tc>
        <w:tc>
          <w:tcPr>
            <w:tcW w:type="dxa" w:w="1242"/>
            <w:vAlign w:val="top"/>
          </w:tcPr>
          <w:p>
            <w:r>
              <w:rPr>
                <w:rFonts w:ascii="Arial" w:hAnsi="Arial"/>
                <w:sz w:val="16"/>
              </w:rPr>
              <w:t>Compliance / non-compliance</w:t>
            </w:r>
          </w:p>
        </w:tc>
        <w:tc>
          <w:tcPr>
            <w:tcW w:type="dxa" w:w="1242"/>
            <w:vAlign w:val="top"/>
          </w:tcPr>
          <w:p>
            <w:r>
              <w:rPr>
                <w:rFonts w:ascii="Arial" w:hAnsi="Arial"/>
                <w:sz w:val="16"/>
              </w:rPr>
              <w:t>Partly; focuses on outlets including newly opened businesses</w:t>
            </w:r>
          </w:p>
        </w:tc>
        <w:tc>
          <w:tcPr>
            <w:tcW w:type="dxa" w:w="1242"/>
            <w:vAlign w:val="top"/>
          </w:tcPr>
          <w:p>
            <w:r>
              <w:rPr>
                <w:rFonts w:ascii="Arial" w:hAnsi="Arial"/>
                <w:sz w:val="16"/>
              </w:rPr>
              <w:t>Business and neighborhood variables; Random Forest + SMOTE</w:t>
            </w:r>
          </w:p>
        </w:tc>
        <w:tc>
          <w:tcPr>
            <w:tcW w:type="dxa" w:w="1242"/>
            <w:vAlign w:val="top"/>
          </w:tcPr>
          <w:p>
            <w:r>
              <w:rPr>
                <w:rFonts w:ascii="Arial" w:hAnsi="Arial"/>
                <w:sz w:val="16"/>
              </w:rPr>
              <w:t>Sens. ~0.843; spec. ~0.745; precision ~0.274</w:t>
            </w:r>
          </w:p>
        </w:tc>
        <w:tc>
          <w:tcPr>
            <w:tcW w:type="dxa" w:w="1242"/>
            <w:vAlign w:val="top"/>
          </w:tcPr>
          <w:p>
            <w:r>
              <w:rPr>
                <w:rFonts w:ascii="Arial" w:hAnsi="Arial"/>
                <w:sz w:val="16"/>
              </w:rPr>
              <w:t>Strong ML precedent for rare-event food-safety compliance</w:t>
            </w:r>
          </w:p>
        </w:tc>
      </w:tr>
      <w:tr>
        <w:tc>
          <w:tcPr>
            <w:tcW w:type="dxa" w:w="1242"/>
            <w:vAlign w:val="top"/>
          </w:tcPr>
          <w:p>
            <w:r>
              <w:rPr>
                <w:rFonts w:ascii="Arial" w:hAnsi="Arial"/>
                <w:sz w:val="16"/>
              </w:rPr>
              <w:t>Hartman thesis [5]</w:t>
            </w:r>
          </w:p>
        </w:tc>
        <w:tc>
          <w:tcPr>
            <w:tcW w:type="dxa" w:w="1242"/>
            <w:vAlign w:val="top"/>
          </w:tcPr>
          <w:p>
            <w:r>
              <w:rPr>
                <w:rFonts w:ascii="Arial" w:hAnsi="Arial"/>
                <w:sz w:val="16"/>
              </w:rPr>
              <w:t>1992</w:t>
            </w:r>
          </w:p>
        </w:tc>
        <w:tc>
          <w:tcPr>
            <w:tcW w:type="dxa" w:w="1242"/>
            <w:vAlign w:val="top"/>
          </w:tcPr>
          <w:p>
            <w:r>
              <w:rPr>
                <w:rFonts w:ascii="Arial" w:hAnsi="Arial"/>
                <w:sz w:val="16"/>
              </w:rPr>
              <w:t>Ohio; historical food-service inspection data</w:t>
            </w:r>
          </w:p>
        </w:tc>
        <w:tc>
          <w:tcPr>
            <w:tcW w:type="dxa" w:w="1242"/>
            <w:vAlign w:val="top"/>
          </w:tcPr>
          <w:p>
            <w:r>
              <w:rPr>
                <w:rFonts w:ascii="Arial" w:hAnsi="Arial"/>
                <w:sz w:val="16"/>
              </w:rPr>
              <w:t>Risk markers for sanitation violations</w:t>
            </w:r>
          </w:p>
        </w:tc>
        <w:tc>
          <w:tcPr>
            <w:tcW w:type="dxa" w:w="1242"/>
            <w:vAlign w:val="top"/>
          </w:tcPr>
          <w:p>
            <w:r>
              <w:rPr>
                <w:rFonts w:ascii="Arial" w:hAnsi="Arial"/>
                <w:sz w:val="16"/>
              </w:rPr>
              <w:t>Uses prior observations</w:t>
            </w:r>
          </w:p>
        </w:tc>
        <w:tc>
          <w:tcPr>
            <w:tcW w:type="dxa" w:w="1242"/>
            <w:vAlign w:val="top"/>
          </w:tcPr>
          <w:p>
            <w:r>
              <w:rPr>
                <w:rFonts w:ascii="Arial" w:hAnsi="Arial"/>
                <w:sz w:val="16"/>
              </w:rPr>
              <w:t>Computer model / early statistical classification</w:t>
            </w:r>
          </w:p>
        </w:tc>
        <w:tc>
          <w:tcPr>
            <w:tcW w:type="dxa" w:w="1242"/>
            <w:vAlign w:val="top"/>
          </w:tcPr>
          <w:p>
            <w:r>
              <w:rPr>
                <w:rFonts w:ascii="Arial" w:hAnsi="Arial"/>
                <w:sz w:val="16"/>
              </w:rPr>
              <w:t>Historical work; pre-modern validation standards</w:t>
            </w:r>
          </w:p>
        </w:tc>
        <w:tc>
          <w:tcPr>
            <w:tcW w:type="dxa" w:w="1242"/>
            <w:vAlign w:val="top"/>
          </w:tcPr>
          <w:p>
            <w:r>
              <w:rPr>
                <w:rFonts w:ascii="Arial" w:hAnsi="Arial"/>
                <w:sz w:val="16"/>
              </w:rPr>
              <w:t>Shows lagged inspection information is long-established</w:t>
            </w:r>
          </w:p>
        </w:tc>
      </w:tr>
      <w:tr>
        <w:tc>
          <w:tcPr>
            <w:tcW w:type="dxa" w:w="1242"/>
            <w:vAlign w:val="top"/>
          </w:tcPr>
          <w:p>
            <w:r>
              <w:rPr>
                <w:rFonts w:ascii="Arial" w:hAnsi="Arial"/>
                <w:sz w:val="16"/>
              </w:rPr>
              <w:t>Hartman [6]</w:t>
            </w:r>
          </w:p>
        </w:tc>
        <w:tc>
          <w:tcPr>
            <w:tcW w:type="dxa" w:w="1242"/>
            <w:vAlign w:val="top"/>
          </w:tcPr>
          <w:p>
            <w:r>
              <w:rPr>
                <w:rFonts w:ascii="Arial" w:hAnsi="Arial"/>
                <w:sz w:val="16"/>
              </w:rPr>
              <w:t>2020</w:t>
            </w:r>
          </w:p>
        </w:tc>
        <w:tc>
          <w:tcPr>
            <w:tcW w:type="dxa" w:w="1242"/>
            <w:vAlign w:val="top"/>
          </w:tcPr>
          <w:p>
            <w:r>
              <w:rPr>
                <w:rFonts w:ascii="Arial" w:hAnsi="Arial"/>
                <w:sz w:val="16"/>
              </w:rPr>
              <w:t>Review of predictive food-code models</w:t>
            </w:r>
          </w:p>
        </w:tc>
        <w:tc>
          <w:tcPr>
            <w:tcW w:type="dxa" w:w="1242"/>
            <w:vAlign w:val="top"/>
          </w:tcPr>
          <w:p>
            <w:r>
              <w:rPr>
                <w:rFonts w:ascii="Arial" w:hAnsi="Arial"/>
                <w:sz w:val="16"/>
              </w:rPr>
              <w:t>Various inspection risks</w:t>
            </w:r>
          </w:p>
        </w:tc>
        <w:tc>
          <w:tcPr>
            <w:tcW w:type="dxa" w:w="1242"/>
            <w:vAlign w:val="top"/>
          </w:tcPr>
          <w:p>
            <w:r>
              <w:rPr>
                <w:rFonts w:ascii="Arial" w:hAnsi="Arial"/>
                <w:sz w:val="16"/>
              </w:rPr>
              <w:t>N/A</w:t>
            </w:r>
          </w:p>
        </w:tc>
        <w:tc>
          <w:tcPr>
            <w:tcW w:type="dxa" w:w="1242"/>
            <w:vAlign w:val="top"/>
          </w:tcPr>
          <w:p>
            <w:r>
              <w:rPr>
                <w:rFonts w:ascii="Arial" w:hAnsi="Arial"/>
                <w:sz w:val="16"/>
              </w:rPr>
              <w:t>Review of risk classification, inspection history and digital signals</w:t>
            </w:r>
          </w:p>
        </w:tc>
        <w:tc>
          <w:tcPr>
            <w:tcW w:type="dxa" w:w="1242"/>
            <w:vAlign w:val="top"/>
          </w:tcPr>
          <w:p>
            <w:r>
              <w:rPr>
                <w:rFonts w:ascii="Arial" w:hAnsi="Arial"/>
                <w:sz w:val="16"/>
              </w:rPr>
              <w:t>Review article</w:t>
            </w:r>
          </w:p>
        </w:tc>
        <w:tc>
          <w:tcPr>
            <w:tcW w:type="dxa" w:w="1242"/>
            <w:vAlign w:val="top"/>
          </w:tcPr>
          <w:p>
            <w:r>
              <w:rPr>
                <w:rFonts w:ascii="Arial" w:hAnsi="Arial"/>
                <w:sz w:val="16"/>
              </w:rPr>
              <w:t>Useful synthesis and framing source</w:t>
            </w:r>
          </w:p>
        </w:tc>
      </w:tr>
      <w:tr>
        <w:tc>
          <w:tcPr>
            <w:tcW w:type="dxa" w:w="1242"/>
            <w:vAlign w:val="top"/>
          </w:tcPr>
          <w:p>
            <w:r>
              <w:rPr>
                <w:rFonts w:ascii="Arial" w:hAnsi="Arial"/>
                <w:sz w:val="16"/>
              </w:rPr>
              <w:t>Sadilek et al. [7]</w:t>
            </w:r>
          </w:p>
        </w:tc>
        <w:tc>
          <w:tcPr>
            <w:tcW w:type="dxa" w:w="1242"/>
            <w:vAlign w:val="top"/>
          </w:tcPr>
          <w:p>
            <w:r>
              <w:rPr>
                <w:rFonts w:ascii="Arial" w:hAnsi="Arial"/>
                <w:sz w:val="16"/>
              </w:rPr>
              <w:t>2018</w:t>
            </w:r>
          </w:p>
        </w:tc>
        <w:tc>
          <w:tcPr>
            <w:tcW w:type="dxa" w:w="1242"/>
            <w:vAlign w:val="top"/>
          </w:tcPr>
          <w:p>
            <w:r>
              <w:rPr>
                <w:rFonts w:ascii="Arial" w:hAnsi="Arial"/>
                <w:sz w:val="16"/>
              </w:rPr>
              <w:t>U.S.; web search + location data</w:t>
            </w:r>
          </w:p>
        </w:tc>
        <w:tc>
          <w:tcPr>
            <w:tcW w:type="dxa" w:w="1242"/>
            <w:vAlign w:val="top"/>
          </w:tcPr>
          <w:p>
            <w:r>
              <w:rPr>
                <w:rFonts w:ascii="Arial" w:hAnsi="Arial"/>
                <w:sz w:val="16"/>
              </w:rPr>
              <w:t>Foodborne illness / unsafe restaurant detection</w:t>
            </w:r>
          </w:p>
        </w:tc>
        <w:tc>
          <w:tcPr>
            <w:tcW w:type="dxa" w:w="1242"/>
            <w:vAlign w:val="top"/>
          </w:tcPr>
          <w:p>
            <w:r>
              <w:rPr>
                <w:rFonts w:ascii="Arial" w:hAnsi="Arial"/>
                <w:sz w:val="16"/>
              </w:rPr>
              <w:t>Real-time screening</w:t>
            </w:r>
          </w:p>
        </w:tc>
        <w:tc>
          <w:tcPr>
            <w:tcW w:type="dxa" w:w="1242"/>
            <w:vAlign w:val="top"/>
          </w:tcPr>
          <w:p>
            <w:r>
              <w:rPr>
                <w:rFonts w:ascii="Arial" w:hAnsi="Arial"/>
                <w:sz w:val="16"/>
              </w:rPr>
              <w:t>Machine learning over aggregated web signals</w:t>
            </w:r>
          </w:p>
        </w:tc>
        <w:tc>
          <w:tcPr>
            <w:tcW w:type="dxa" w:w="1242"/>
            <w:vAlign w:val="top"/>
          </w:tcPr>
          <w:p>
            <w:r>
              <w:rPr>
                <w:rFonts w:ascii="Arial" w:hAnsi="Arial"/>
                <w:sz w:val="16"/>
              </w:rPr>
              <w:t>Restaurants flagged by FINDER ~3.1x as likely unsafe vs existing methods</w:t>
            </w:r>
          </w:p>
        </w:tc>
        <w:tc>
          <w:tcPr>
            <w:tcW w:type="dxa" w:w="1242"/>
            <w:vAlign w:val="top"/>
          </w:tcPr>
          <w:p>
            <w:r>
              <w:rPr>
                <w:rFonts w:ascii="Arial" w:hAnsi="Arial"/>
                <w:sz w:val="16"/>
              </w:rPr>
              <w:t>Shows predictive screening can affect inspection targeting, but different target</w:t>
            </w:r>
          </w:p>
        </w:tc>
      </w:tr>
      <w:tr>
        <w:tc>
          <w:tcPr>
            <w:tcW w:type="dxa" w:w="1242"/>
            <w:vAlign w:val="top"/>
          </w:tcPr>
          <w:p>
            <w:r>
              <w:rPr>
                <w:rFonts w:ascii="Arial" w:hAnsi="Arial"/>
                <w:sz w:val="16"/>
              </w:rPr>
              <w:t>Besharah &amp; Heacock [9]</w:t>
            </w:r>
          </w:p>
        </w:tc>
        <w:tc>
          <w:tcPr>
            <w:tcW w:type="dxa" w:w="1242"/>
            <w:vAlign w:val="top"/>
          </w:tcPr>
          <w:p>
            <w:r>
              <w:rPr>
                <w:rFonts w:ascii="Arial" w:hAnsi="Arial"/>
                <w:sz w:val="16"/>
              </w:rPr>
              <w:t>2015</w:t>
            </w:r>
          </w:p>
        </w:tc>
        <w:tc>
          <w:tcPr>
            <w:tcW w:type="dxa" w:w="1242"/>
            <w:vAlign w:val="top"/>
          </w:tcPr>
          <w:p>
            <w:r>
              <w:rPr>
                <w:rFonts w:ascii="Arial" w:hAnsi="Arial"/>
                <w:sz w:val="16"/>
              </w:rPr>
              <w:t>Toronto DineSafe; 2004–06 vs 2012–14</w:t>
            </w:r>
          </w:p>
        </w:tc>
        <w:tc>
          <w:tcPr>
            <w:tcW w:type="dxa" w:w="1242"/>
            <w:vAlign w:val="top"/>
          </w:tcPr>
          <w:p>
            <w:r>
              <w:rPr>
                <w:rFonts w:ascii="Arial" w:hAnsi="Arial"/>
                <w:sz w:val="16"/>
              </w:rPr>
              <w:t>Placard / Conditional Pass recurrence</w:t>
            </w:r>
          </w:p>
        </w:tc>
        <w:tc>
          <w:tcPr>
            <w:tcW w:type="dxa" w:w="1242"/>
            <w:vAlign w:val="top"/>
          </w:tcPr>
          <w:p>
            <w:r>
              <w:rPr>
                <w:rFonts w:ascii="Arial" w:hAnsi="Arial"/>
                <w:sz w:val="16"/>
              </w:rPr>
              <w:t>No</w:t>
            </w:r>
          </w:p>
        </w:tc>
        <w:tc>
          <w:tcPr>
            <w:tcW w:type="dxa" w:w="1242"/>
            <w:vAlign w:val="top"/>
          </w:tcPr>
          <w:p>
            <w:r>
              <w:rPr>
                <w:rFonts w:ascii="Arial" w:hAnsi="Arial"/>
                <w:sz w:val="16"/>
              </w:rPr>
              <w:t>Inspection outcome counts</w:t>
            </w:r>
          </w:p>
        </w:tc>
        <w:tc>
          <w:tcPr>
            <w:tcW w:type="dxa" w:w="1242"/>
            <w:vAlign w:val="top"/>
          </w:tcPr>
          <w:p>
            <w:r>
              <w:rPr>
                <w:rFonts w:ascii="Arial" w:hAnsi="Arial"/>
                <w:sz w:val="16"/>
              </w:rPr>
              <w:t>Descriptive comparison</w:t>
            </w:r>
          </w:p>
        </w:tc>
        <w:tc>
          <w:tcPr>
            <w:tcW w:type="dxa" w:w="1242"/>
            <w:vAlign w:val="top"/>
          </w:tcPr>
          <w:p>
            <w:r>
              <w:rPr>
                <w:rFonts w:ascii="Arial" w:hAnsi="Arial"/>
                <w:sz w:val="16"/>
              </w:rPr>
              <w:t>Direct Toronto DineSafe scholarship; not predictive ML</w:t>
            </w:r>
          </w:p>
        </w:tc>
      </w:tr>
      <w:tr>
        <w:tc>
          <w:tcPr>
            <w:tcW w:type="dxa" w:w="1242"/>
            <w:vAlign w:val="top"/>
          </w:tcPr>
          <w:p>
            <w:r>
              <w:rPr>
                <w:rFonts w:ascii="Arial" w:hAnsi="Arial"/>
                <w:sz w:val="16"/>
              </w:rPr>
              <w:t>Thandi [10]</w:t>
            </w:r>
          </w:p>
        </w:tc>
        <w:tc>
          <w:tcPr>
            <w:tcW w:type="dxa" w:w="1242"/>
            <w:vAlign w:val="top"/>
          </w:tcPr>
          <w:p>
            <w:r>
              <w:rPr>
                <w:rFonts w:ascii="Arial" w:hAnsi="Arial"/>
                <w:sz w:val="16"/>
              </w:rPr>
              <w:t>2021</w:t>
            </w:r>
          </w:p>
        </w:tc>
        <w:tc>
          <w:tcPr>
            <w:tcW w:type="dxa" w:w="1242"/>
            <w:vAlign w:val="top"/>
          </w:tcPr>
          <w:p>
            <w:r>
              <w:rPr>
                <w:rFonts w:ascii="Arial" w:hAnsi="Arial"/>
                <w:sz w:val="16"/>
              </w:rPr>
              <w:t>Toronto vs Vancouver; 200 routine reports</w:t>
            </w:r>
          </w:p>
        </w:tc>
        <w:tc>
          <w:tcPr>
            <w:tcW w:type="dxa" w:w="1242"/>
            <w:vAlign w:val="top"/>
          </w:tcPr>
          <w:p>
            <w:r>
              <w:rPr>
                <w:rFonts w:ascii="Arial" w:hAnsi="Arial"/>
                <w:sz w:val="16"/>
              </w:rPr>
              <w:t>Infraction counts</w:t>
            </w:r>
          </w:p>
        </w:tc>
        <w:tc>
          <w:tcPr>
            <w:tcW w:type="dxa" w:w="1242"/>
            <w:vAlign w:val="top"/>
          </w:tcPr>
          <w:p>
            <w:r>
              <w:rPr>
                <w:rFonts w:ascii="Arial" w:hAnsi="Arial"/>
                <w:sz w:val="16"/>
              </w:rPr>
              <w:t>No</w:t>
            </w:r>
          </w:p>
        </w:tc>
        <w:tc>
          <w:tcPr>
            <w:tcW w:type="dxa" w:w="1242"/>
            <w:vAlign w:val="top"/>
          </w:tcPr>
          <w:p>
            <w:r>
              <w:rPr>
                <w:rFonts w:ascii="Arial" w:hAnsi="Arial"/>
                <w:sz w:val="16"/>
              </w:rPr>
              <w:t>Crucial/critical and minor/non-critical counts; t-tests</w:t>
            </w:r>
          </w:p>
        </w:tc>
        <w:tc>
          <w:tcPr>
            <w:tcW w:type="dxa" w:w="1242"/>
            <w:vAlign w:val="top"/>
          </w:tcPr>
          <w:p>
            <w:r>
              <w:rPr>
                <w:rFonts w:ascii="Arial" w:hAnsi="Arial"/>
                <w:sz w:val="16"/>
              </w:rPr>
              <w:t>Significant city differences</w:t>
            </w:r>
          </w:p>
        </w:tc>
        <w:tc>
          <w:tcPr>
            <w:tcW w:type="dxa" w:w="1242"/>
            <w:vAlign w:val="top"/>
          </w:tcPr>
          <w:p>
            <w:r>
              <w:rPr>
                <w:rFonts w:ascii="Arial" w:hAnsi="Arial"/>
                <w:sz w:val="16"/>
              </w:rPr>
              <w:t>Direct Toronto DineSafe scholarship; descriptive, not forecasting</w:t>
            </w:r>
          </w:p>
        </w:tc>
      </w:tr>
      <w:tr>
        <w:tc>
          <w:tcPr>
            <w:tcW w:type="dxa" w:w="1242"/>
            <w:vAlign w:val="top"/>
          </w:tcPr>
          <w:p>
            <w:r>
              <w:rPr>
                <w:rFonts w:ascii="Arial" w:hAnsi="Arial"/>
                <w:sz w:val="16"/>
              </w:rPr>
              <w:t>Sari et al. [11]</w:t>
            </w:r>
          </w:p>
        </w:tc>
        <w:tc>
          <w:tcPr>
            <w:tcW w:type="dxa" w:w="1242"/>
            <w:vAlign w:val="top"/>
          </w:tcPr>
          <w:p>
            <w:r>
              <w:rPr>
                <w:rFonts w:ascii="Arial" w:hAnsi="Arial"/>
                <w:sz w:val="16"/>
              </w:rPr>
              <w:t>2026</w:t>
            </w:r>
          </w:p>
        </w:tc>
        <w:tc>
          <w:tcPr>
            <w:tcW w:type="dxa" w:w="1242"/>
            <w:vAlign w:val="top"/>
          </w:tcPr>
          <w:p>
            <w:r>
              <w:rPr>
                <w:rFonts w:ascii="Arial" w:hAnsi="Arial"/>
                <w:sz w:val="16"/>
              </w:rPr>
              <w:t>New York State open inspection data</w:t>
            </w:r>
          </w:p>
        </w:tc>
        <w:tc>
          <w:tcPr>
            <w:tcW w:type="dxa" w:w="1242"/>
            <w:vAlign w:val="top"/>
          </w:tcPr>
          <w:p>
            <w:r>
              <w:rPr>
                <w:rFonts w:ascii="Arial" w:hAnsi="Arial"/>
                <w:sz w:val="16"/>
              </w:rPr>
              <w:t>Inspection grade / safety-related classification</w:t>
            </w:r>
          </w:p>
        </w:tc>
        <w:tc>
          <w:tcPr>
            <w:tcW w:type="dxa" w:w="1242"/>
            <w:vAlign w:val="top"/>
          </w:tcPr>
          <w:p>
            <w:r>
              <w:rPr>
                <w:rFonts w:ascii="Arial" w:hAnsi="Arial"/>
                <w:sz w:val="16"/>
              </w:rPr>
              <w:t>Not the same next-event setup</w:t>
            </w:r>
          </w:p>
        </w:tc>
        <w:tc>
          <w:tcPr>
            <w:tcW w:type="dxa" w:w="1242"/>
            <w:vAlign w:val="top"/>
          </w:tcPr>
          <w:p>
            <w:r>
              <w:rPr>
                <w:rFonts w:ascii="Arial" w:hAnsi="Arial"/>
                <w:sz w:val="16"/>
              </w:rPr>
              <w:t>Structured + narrative text; LightGBM, BiLSTM, transformers, SHAP</w:t>
            </w:r>
          </w:p>
        </w:tc>
        <w:tc>
          <w:tcPr>
            <w:tcW w:type="dxa" w:w="1242"/>
            <w:vAlign w:val="top"/>
          </w:tcPr>
          <w:p>
            <w:r>
              <w:rPr>
                <w:rFonts w:ascii="Arial" w:hAnsi="Arial"/>
                <w:sz w:val="16"/>
              </w:rPr>
              <w:t>RoBERTa F1 0.96 reported</w:t>
            </w:r>
          </w:p>
        </w:tc>
        <w:tc>
          <w:tcPr>
            <w:tcW w:type="dxa" w:w="1242"/>
            <w:vAlign w:val="top"/>
          </w:tcPr>
          <w:p>
            <w:r>
              <w:rPr>
                <w:rFonts w:ascii="Arial" w:hAnsi="Arial"/>
                <w:sz w:val="16"/>
              </w:rPr>
              <w:t>Shows current state of multimodal/XAI food-inspection modelling</w:t>
            </w:r>
          </w:p>
        </w:tc>
      </w:tr>
      <w:tr>
        <w:tc>
          <w:tcPr>
            <w:tcW w:type="dxa" w:w="1242"/>
            <w:vAlign w:val="top"/>
          </w:tcPr>
          <w:p>
            <w:r>
              <w:rPr>
                <w:rFonts w:ascii="Arial" w:hAnsi="Arial"/>
                <w:sz w:val="16"/>
              </w:rPr>
              <w:t>Nalbone et al. [12]</w:t>
            </w:r>
          </w:p>
        </w:tc>
        <w:tc>
          <w:tcPr>
            <w:tcW w:type="dxa" w:w="1242"/>
            <w:vAlign w:val="top"/>
          </w:tcPr>
          <w:p>
            <w:r>
              <w:rPr>
                <w:rFonts w:ascii="Arial" w:hAnsi="Arial"/>
                <w:sz w:val="16"/>
              </w:rPr>
              <w:t>2026</w:t>
            </w:r>
          </w:p>
        </w:tc>
        <w:tc>
          <w:tcPr>
            <w:tcW w:type="dxa" w:w="1242"/>
            <w:vAlign w:val="top"/>
          </w:tcPr>
          <w:p>
            <w:r>
              <w:rPr>
                <w:rFonts w:ascii="Arial" w:hAnsi="Arial"/>
                <w:sz w:val="16"/>
              </w:rPr>
              <w:t>Messina, Italy; 588 controls / 101 establishments</w:t>
            </w:r>
          </w:p>
        </w:tc>
        <w:tc>
          <w:tcPr>
            <w:tcW w:type="dxa" w:w="1242"/>
            <w:vAlign w:val="top"/>
          </w:tcPr>
          <w:p>
            <w:r>
              <w:rPr>
                <w:rFonts w:ascii="Arial" w:hAnsi="Arial"/>
                <w:sz w:val="16"/>
              </w:rPr>
              <w:t>Most probable non-compliance type</w:t>
            </w:r>
          </w:p>
        </w:tc>
        <w:tc>
          <w:tcPr>
            <w:tcW w:type="dxa" w:w="1242"/>
            <w:vAlign w:val="top"/>
          </w:tcPr>
          <w:p>
            <w:r>
              <w:rPr>
                <w:rFonts w:ascii="Arial" w:hAnsi="Arial"/>
                <w:sz w:val="16"/>
              </w:rPr>
              <w:t>Predictive official-control setting</w:t>
            </w:r>
          </w:p>
        </w:tc>
        <w:tc>
          <w:tcPr>
            <w:tcW w:type="dxa" w:w="1242"/>
            <w:vAlign w:val="top"/>
          </w:tcPr>
          <w:p>
            <w:r>
              <w:rPr>
                <w:rFonts w:ascii="Arial" w:hAnsi="Arial"/>
                <w:sz w:val="16"/>
              </w:rPr>
              <w:t>Bayesian Network; establishment/risk criteria</w:t>
            </w:r>
          </w:p>
        </w:tc>
        <w:tc>
          <w:tcPr>
            <w:tcW w:type="dxa" w:w="1242"/>
            <w:vAlign w:val="top"/>
          </w:tcPr>
          <w:p>
            <w:r>
              <w:rPr>
                <w:rFonts w:ascii="Arial" w:hAnsi="Arial"/>
                <w:sz w:val="16"/>
              </w:rPr>
              <w:t>Validated on 25 2024 NCs; 19 correctly predicted overall; 3 most probable</w:t>
            </w:r>
          </w:p>
        </w:tc>
        <w:tc>
          <w:tcPr>
            <w:tcW w:type="dxa" w:w="1242"/>
            <w:vAlign w:val="top"/>
          </w:tcPr>
          <w:p>
            <w:r>
              <w:rPr>
                <w:rFonts w:ascii="Arial" w:hAnsi="Arial"/>
                <w:sz w:val="16"/>
              </w:rPr>
              <w:t>Shows modern risk-targeted official-control prediction</w:t>
            </w:r>
          </w:p>
        </w:tc>
      </w:tr>
      <w:tr>
        <w:tc>
          <w:tcPr>
            <w:tcW w:type="dxa" w:w="1242"/>
            <w:vAlign w:val="top"/>
          </w:tcPr>
          <w:p>
            <w:r>
              <w:rPr>
                <w:rFonts w:ascii="Arial" w:hAnsi="Arial"/>
                <w:sz w:val="16"/>
              </w:rPr>
              <w:t>Okumus et al. [13]</w:t>
            </w:r>
          </w:p>
        </w:tc>
        <w:tc>
          <w:tcPr>
            <w:tcW w:type="dxa" w:w="1242"/>
            <w:vAlign w:val="top"/>
          </w:tcPr>
          <w:p>
            <w:r>
              <w:rPr>
                <w:rFonts w:ascii="Arial" w:hAnsi="Arial"/>
                <w:sz w:val="16"/>
              </w:rPr>
              <w:t>2026 online / 2027 vol.</w:t>
            </w:r>
          </w:p>
        </w:tc>
        <w:tc>
          <w:tcPr>
            <w:tcW w:type="dxa" w:w="1242"/>
            <w:vAlign w:val="top"/>
          </w:tcPr>
          <w:p>
            <w:r>
              <w:rPr>
                <w:rFonts w:ascii="Arial" w:hAnsi="Arial"/>
                <w:sz w:val="16"/>
              </w:rPr>
              <w:t>Chicago; &gt;160k restaurant inspections, 2010–2024</w:t>
            </w:r>
          </w:p>
        </w:tc>
        <w:tc>
          <w:tcPr>
            <w:tcW w:type="dxa" w:w="1242"/>
            <w:vAlign w:val="top"/>
          </w:tcPr>
          <w:p>
            <w:r>
              <w:rPr>
                <w:rFonts w:ascii="Arial" w:hAnsi="Arial"/>
                <w:sz w:val="16"/>
              </w:rPr>
              <w:t>Inspection pass/fail outcome</w:t>
            </w:r>
          </w:p>
        </w:tc>
        <w:tc>
          <w:tcPr>
            <w:tcW w:type="dxa" w:w="1242"/>
            <w:vAlign w:val="top"/>
          </w:tcPr>
          <w:p>
            <w:r>
              <w:rPr>
                <w:rFonts w:ascii="Arial" w:hAnsi="Arial"/>
                <w:sz w:val="16"/>
              </w:rPr>
              <w:t>Temporal aspects analysed, but not the same t+1 leakage-safe formulation</w:t>
            </w:r>
          </w:p>
        </w:tc>
        <w:tc>
          <w:tcPr>
            <w:tcW w:type="dxa" w:w="1242"/>
            <w:vAlign w:val="top"/>
          </w:tcPr>
          <w:p>
            <w:r>
              <w:rPr>
                <w:rFonts w:ascii="Arial" w:hAnsi="Arial"/>
                <w:sz w:val="16"/>
              </w:rPr>
              <w:t>Logistic regression + CatBoost + SHAP; inspection type/risk/reinspection/time</w:t>
            </w:r>
          </w:p>
        </w:tc>
        <w:tc>
          <w:tcPr>
            <w:tcW w:type="dxa" w:w="1242"/>
            <w:vAlign w:val="top"/>
          </w:tcPr>
          <w:p>
            <w:r>
              <w:rPr>
                <w:rFonts w:ascii="Arial" w:hAnsi="Arial"/>
                <w:sz w:val="16"/>
              </w:rPr>
              <w:t>CatBoost stronger for nonlinear interactions</w:t>
            </w:r>
          </w:p>
        </w:tc>
        <w:tc>
          <w:tcPr>
            <w:tcW w:type="dxa" w:w="1242"/>
            <w:vAlign w:val="top"/>
          </w:tcPr>
          <w:p>
            <w:r>
              <w:rPr>
                <w:rFonts w:ascii="Arial" w:hAnsi="Arial"/>
                <w:sz w:val="16"/>
              </w:rPr>
              <w:t>Very recent direct restaurant-inspection ML; further reduces generic novelty</w:t>
            </w:r>
          </w:p>
        </w:tc>
      </w:tr>
    </w:tbl>
    <w:p>
      <w:pPr>
        <w:pStyle w:val="Heading1"/>
      </w:pPr>
      <w:r>
        <w:t>5. Novelty Audit</w:t>
      </w:r>
    </w:p>
    <w:p>
      <w:r>
        <w:rPr>
          <w:b/>
        </w:rPr>
        <w:t xml:space="preserve">Level 1: “Can restaurant inspection outcomes be predicted with ML?” — Not novel. </w:t>
      </w:r>
      <w:r>
        <w:t>This has been demonstrated in Chicago, England and Wales, New York State, Italy, and other food-safety contexts [1], [4], [11]–[13].</w:t>
      </w:r>
    </w:p>
    <w:p>
      <w:r>
        <w:rPr>
          <w:b/>
        </w:rPr>
        <w:t xml:space="preserve">Level 2: “Can the next/future inspection outcome be predicted using prior inspection history?” — Established. </w:t>
      </w:r>
      <w:r>
        <w:t>Chicago directly demonstrates this formulation [1], and Kannan et al. analyse the temporal setup [2].</w:t>
      </w:r>
    </w:p>
    <w:p>
      <w:r>
        <w:rPr>
          <w:b/>
        </w:rPr>
        <w:t xml:space="preserve">Level 3: “Can temporal leakage-safe validation be used for repeated restaurant inspections?” — Methodologically necessary, not itself novel. </w:t>
      </w:r>
      <w:r>
        <w:t>A future-outcome claim requires features to be restricted to information available before the target inspection. Temporal separation is a validity requirement, not a novelty claim.</w:t>
      </w:r>
    </w:p>
    <w:p>
      <w:r>
        <w:rPr>
          <w:b/>
        </w:rPr>
        <w:t xml:space="preserve">Level 4: “Does longitudinal history add predictive value beyond static characteristics?” — Potentially differentiated. </w:t>
      </w:r>
      <w:r>
        <w:t>The prior literature uses both historical and static/spatial features, but the specific ablation question can provide a cleaner empirical contribution on Toronto data [1], [3], [4].</w:t>
      </w:r>
    </w:p>
    <w:p>
      <w:r>
        <w:rPr>
          <w:b/>
        </w:rPr>
        <w:t xml:space="preserve">Level 5: “How much does the amount/recency of history affect predictive performance?” — Potentially differentiated. </w:t>
      </w:r>
      <w:r>
        <w:t>This asks an information-value question rather than an algorithm-shopping question: last inspection only vs recent window vs longer history. It is naturally supported by the repeated-inspection structure of DineSafe.</w:t>
      </w:r>
    </w:p>
    <w:p>
      <w:r>
        <w:rPr>
          <w:b/>
        </w:rPr>
        <w:t xml:space="preserve">Level 6: “Does a risk-ranked schedule improve inspection efficiency?” — Potentially useful, but not automatically novel or causally established. </w:t>
      </w:r>
      <w:r>
        <w:t>Chicago already performed a prioritization evaluation [1]. A Toronto replication would be a local case study, but any “days saved” result requires explicit counterfactual assumptions.</w:t>
      </w:r>
    </w:p>
    <w:p>
      <w:r>
        <w:rPr>
          <w:b/>
        </w:rPr>
        <w:t xml:space="preserve">Level 7: “What is novel about Toronto DineSafe?” — Empirically new, subject to the limits of the literature search. </w:t>
      </w:r>
      <w:r>
        <w:t>The review found Toronto-specific descriptive/evaluative work but no scholarly predictive model of future DineSafe outcomes [9], [10]. The contribution should therefore be framed as a Toronto empirical study with a specific methodological question, not as invention of the prediction problem.</w:t>
      </w:r>
    </w:p>
    <w:p>
      <w:pPr>
        <w:pStyle w:val="Heading1"/>
      </w:pPr>
      <w:r>
        <w:t>6. Methodological Implications for the DineSafe Study</w:t>
      </w:r>
    </w:p>
    <w:p>
      <w:pPr>
        <w:pStyle w:val="Heading2"/>
      </w:pPr>
      <w:r>
        <w:t>6.1 Prediction unit</w:t>
      </w:r>
    </w:p>
    <w:p>
      <w:r>
        <w:t>The unit of prediction should be an inspection event. For an establishment with inspections t1, t2, …, tn, the modelling row for tn should be constructed from information known by tn-1. This is more defensible than treating each raw infraction row as an independent observation.</w:t>
      </w:r>
    </w:p>
    <w:p>
      <w:pPr>
        <w:pStyle w:val="Heading2"/>
      </w:pPr>
      <w:r>
        <w:t>6.2 Allowed information</w:t>
      </w:r>
    </w:p>
    <w:p>
      <w:r>
        <w:t>Allowed information includes the previous inspection outcome, prior infraction counts, historical non-pass counts or rates, number of prior inspections, time since last inspection, time since last non-pass, and static establishment characteristics that are genuinely available before the target inspection. Calendar features may be used only if defined without reference to the future.</w:t>
      </w:r>
    </w:p>
    <w:p>
      <w:pPr>
        <w:pStyle w:val="Heading2"/>
      </w:pPr>
      <w:r>
        <w:t>6.3 Prohibited information</w:t>
      </w:r>
    </w:p>
    <w:p>
      <w:r>
        <w:t>Prohibited information includes the target inspection’s own infractions, target score/status, any updated fields created only because of the target inspection, any future inspection results, and aggregate statistics computed using the full establishment history rather than history truncated at the prediction time.</w:t>
      </w:r>
    </w:p>
    <w:p>
      <w:pPr>
        <w:pStyle w:val="Heading2"/>
      </w:pPr>
      <w:r>
        <w:t>6.4 Split strategy</w:t>
      </w:r>
    </w:p>
    <w:p>
      <w:r>
        <w:t>A temporal train/validation/test split is required for the main forecasting claim. The same establishment may appear across splits when its earlier inspections are in training and its later inspections are in validation/test. A purely random inspection-level split is not suitable as the main result because it can place later observations of an establishment into training while an earlier observation remains in test, which does not represent real forward prediction.</w:t>
      </w:r>
    </w:p>
    <w:p>
      <w:pPr>
        <w:pStyle w:val="Heading2"/>
      </w:pPr>
      <w:r>
        <w:t>6.5 Identity resolution</w:t>
      </w:r>
    </w:p>
    <w:p>
      <w:r>
        <w:t>The current audit found 804 oldEstId values mapping to multiple current estId values. The conservative design is therefore to keep current estId as the entity key and avoid aggressive historical merging. An unresolved identity problem should be documented as a limitation rather than “fixed” with a speculative linkage rule.</w:t>
      </w:r>
    </w:p>
    <w:p>
      <w:pPr>
        <w:pStyle w:val="Heading1"/>
      </w:pPr>
      <w:r>
        <w:t>7. Target Definition</w:t>
      </w:r>
    </w:p>
    <w:p>
      <w:r>
        <w:t>Toronto’s current DineSafe presentation distinguishes Pass, Conditional Pass, and Closed, and identifies three infraction levels: crucial, significant, and minor [14]. The current audit shows that Closed is extremely rare in the available file (64 observations), so a three-class model would be statistically fragile. A binary target, Pass versus Non-Pass where Non-Pass = Conditional Pass or Closed, is therefore a pragmatic primary target.</w:t>
      </w:r>
    </w:p>
    <w:p>
      <w:r>
        <w:t>The terminology matters. “Non-Pass” should not be described as “unsafe restaurant,” and a high predicted probability should not be interpreted as a causal diagnosis. The model predicts an observed regulatory outcome under the DineSafe inspection process. It does not estimate intrinsic food safety or actual foodborne-illness risk.</w:t>
      </w:r>
    </w:p>
    <w:p>
      <w:r>
        <w:t>A separate target of “any infraction” is less aligned with the public regulatory outcome because an inspection may still receive Pass despite minor issues. A three-class target is not recommended for the main study because of the very small number of Closed observations in the current audit.</w:t>
      </w:r>
    </w:p>
    <w:p>
      <w:pPr>
        <w:pStyle w:val="Heading1"/>
      </w:pPr>
      <w:r>
        <w:t>8. What the Literature Suggests We Should Actually Test</w:t>
      </w:r>
    </w:p>
    <w:p>
      <w:r>
        <w:t>Rather than immediately choosing a large model, the literature suggests three information sources worth separating: static establishment characteristics, recent history, and longer longitudinal history. This gives the project a scientific comparison that can survive a negative modelling result.</w:t>
      </w:r>
    </w:p>
    <w:p>
      <w:r>
        <w:rPr>
          <w:b/>
        </w:rPr>
        <w:t xml:space="preserve">Model A: Static-only: </w:t>
      </w:r>
      <w:r>
        <w:t>Use features that do not depend on prior outcomes, such as stable establishment attributes available before inspection. This measures how much predictive signal exists without inspection history.</w:t>
      </w:r>
    </w:p>
    <w:p>
      <w:r>
        <w:rPr>
          <w:b/>
        </w:rPr>
        <w:t xml:space="preserve">Model B: Last-inspection only: </w:t>
      </w:r>
      <w:r>
        <w:t>Use the previous outcome, previous infraction severity counts, and a small number of recency features. This tests whether most of the signal comes from the immediately preceding inspection.</w:t>
      </w:r>
    </w:p>
    <w:p>
      <w:r>
        <w:rPr>
          <w:b/>
        </w:rPr>
        <w:t xml:space="preserve">Model C: Recent-history: </w:t>
      </w:r>
      <w:r>
        <w:t>Add rolling windows such as the last 365 days or last N inspections, historical non-pass rate, and time-since-event features. This measures the value of short-term memory.</w:t>
      </w:r>
    </w:p>
    <w:p>
      <w:r>
        <w:rPr>
          <w:b/>
        </w:rPr>
        <w:t xml:space="preserve">Model D: Full-history: </w:t>
      </w:r>
      <w:r>
        <w:t>Use cumulative history up to time t, including inspection count, cumulative non-pass frequency, and recency-weighted features. Compare against Models B and C.</w:t>
      </w:r>
    </w:p>
    <w:p>
      <w:r>
        <w:rPr>
          <w:b/>
        </w:rPr>
        <w:t xml:space="preserve">Model E: Combined: </w:t>
      </w:r>
      <w:r>
        <w:t>Combine static and longitudinal features. This establishes whether persistent characteristics add information beyond inspection history.</w:t>
      </w:r>
    </w:p>
    <w:p>
      <w:r>
        <w:t>The scientific question then becomes empirical: how much does each added layer of historical information improve PR-AUC, calibration, recall at a fixed inspection capacity, or another pre-specified metric? This is more informative than choosing the most complicated algorithm first.</w:t>
      </w:r>
    </w:p>
    <w:p>
      <w:pPr>
        <w:pStyle w:val="Heading1"/>
      </w:pPr>
      <w:r>
        <w:t>9. Inspection Prioritization: Useful Secondary Analysis, Not the Primary Claim</w:t>
      </w:r>
    </w:p>
    <w:p>
      <w:r>
        <w:t>The Chicago precedent makes prioritization a credible operational interpretation [1]. However, the earlier review was too optimistic in treating a simple reordering of observed inspections as if it directly established “days saved.” A retrospective ranking cannot observe the counterfactual world in which the highest-risk restaurant was inspected earlier. The Chicago work itself acknowledges assumptions around time-invariant detectability during the pilot [1].</w:t>
      </w:r>
    </w:p>
    <w:p>
      <w:r>
        <w:t>For DineSafe, a better secondary analysis is resource-constrained ranking: among a held-out future set, what fraction of observed Non-Pass outcomes falls within the top 5%, 10%, or 20% of establishments ranked by predicted probability? This avoids claiming that the model caused earlier inspections. A more ambitious schedule simulation may be included only after the ranking analysis is solid and after its assumptions are stated explicitly.</w:t>
      </w:r>
    </w:p>
    <w:p>
      <w:pPr>
        <w:pStyle w:val="Heading1"/>
      </w:pPr>
      <w:r>
        <w:t>10. Candidate Research Questions</w:t>
      </w:r>
    </w:p>
    <w:p>
      <w:r>
        <w:rPr>
          <w:b/>
        </w:rPr>
        <w:t xml:space="preserve">RQ1: How well can the next DineSafe inspection outcome (Pass vs Non-Pass) be predicted using information available before that inspection? </w:t>
      </w:r>
      <w:r>
        <w:t>Low novelty; essential baseline question.</w:t>
      </w:r>
    </w:p>
    <w:p>
      <w:r>
        <w:rPr>
          <w:b/>
        </w:rPr>
        <w:t xml:space="preserve">RQ2: How much predictive information is contained in longitudinal inspection history beyond static establishment characteristics? </w:t>
      </w:r>
      <w:r>
        <w:t>Moderate potential differentiation; strongest clean experimental question.</w:t>
      </w:r>
    </w:p>
    <w:p>
      <w:r>
        <w:rPr>
          <w:b/>
        </w:rPr>
        <w:t xml:space="preserve">RQ3: How does the predictive value of inspection history change with recency and amount of history? </w:t>
      </w:r>
      <w:r>
        <w:t>Potentially meaningful; closely aligned to the repeated-event structure.</w:t>
      </w:r>
    </w:p>
    <w:p>
      <w:r>
        <w:rPr>
          <w:b/>
        </w:rPr>
        <w:t xml:space="preserve">RQ4: How stable is next-inspection prediction across later time periods under strict temporal evaluation? </w:t>
      </w:r>
      <w:r>
        <w:t>Useful robustness question; helps test temporal drift and deployment relevance.</w:t>
      </w:r>
    </w:p>
    <w:p>
      <w:r>
        <w:rPr>
          <w:b/>
        </w:rPr>
        <w:t xml:space="preserve">RQ5: To what extent can a risk-ranked screening policy concentrate observed future Non-Pass outcomes under a fixed inspection capacity? </w:t>
      </w:r>
      <w:r>
        <w:t>Useful operational extension, but should be secondary and clearly framed as retrospective scenario analysis.</w:t>
      </w:r>
    </w:p>
    <w:p>
      <w:r>
        <w:t>Recommended primary framing: “How much does longitudinal inspection history improve prediction of an establishment’s next DineSafe inspection outcome, and how does the amount and recency of available history affect predictive performance?” This preserves the genuinely predictive nature of the project while making the research question more specific than “Can ML predict inspection outcomes?”</w:t>
      </w:r>
    </w:p>
    <w:p>
      <w:pPr>
        <w:pStyle w:val="Heading1"/>
      </w:pPr>
      <w:r>
        <w:t>11. Main Scientific Risks</w:t>
      </w:r>
    </w:p>
    <w:p>
      <w:pPr>
        <w:pStyle w:val="ListBullet"/>
      </w:pPr>
      <w:r>
        <w:t>Derivative framing: a vanilla next-inspection classifier is too close to existing work, especially Chicago [1], [2].</w:t>
      </w:r>
    </w:p>
    <w:p>
      <w:pPr>
        <w:pStyle w:val="ListBullet"/>
      </w:pPr>
      <w:r>
        <w:t>Process dependence: DineSafe outcomes are produced by an inspection process, so the model predicts observed inspection outcomes rather than an unobserved “true safety” state.</w:t>
      </w:r>
    </w:p>
    <w:p>
      <w:pPr>
        <w:pStyle w:val="ListBullet"/>
      </w:pPr>
      <w:r>
        <w:t>Class imbalance: Non-Pass is rare and Closed is extremely rare in the current data; evaluation must therefore emphasize minority-class metrics and ranking metrics, not accuracy alone.</w:t>
      </w:r>
    </w:p>
    <w:p>
      <w:pPr>
        <w:pStyle w:val="ListBullet"/>
      </w:pPr>
      <w:r>
        <w:t>Temporal leakage: any feature that accidentally incorporates future inspections invalidates the forecasting claim.</w:t>
      </w:r>
    </w:p>
    <w:p>
      <w:pPr>
        <w:pStyle w:val="ListBullet"/>
      </w:pPr>
      <w:r>
        <w:t>Entity changes: currentEstId/oldEstId inconsistencies can distort longitudinal histories.</w:t>
      </w:r>
    </w:p>
    <w:p>
      <w:pPr>
        <w:pStyle w:val="ListBullet"/>
      </w:pPr>
      <w:r>
        <w:t>Counterfactual overclaiming: retrospective schedule simulations cannot by themselves prove that a new scheduling policy would actually save the claimed number of days.</w:t>
      </w:r>
    </w:p>
    <w:p>
      <w:pPr>
        <w:pStyle w:val="ListBullet"/>
      </w:pPr>
      <w:r>
        <w:t>Scope creep: adding external census, review-text, social media, geospatial, or transformer models before establishing the value of the core DineSafe inspection history would make the study harder to interpret.</w:t>
      </w:r>
    </w:p>
    <w:p>
      <w:pPr>
        <w:pStyle w:val="Heading1"/>
      </w:pPr>
      <w:r>
        <w:t>12. Overall Research Assessment</w:t>
      </w:r>
    </w:p>
    <w:p>
      <w:r>
        <w:t>The literature supports proceeding with DineSafe only under a narrower and more disciplined framing. The data structure is unusually well suited to a genuine future-event prediction problem because repeated inspection histories create a natural temporal ordering. That is the project’s methodological strength.</w:t>
      </w:r>
    </w:p>
    <w:p>
      <w:r>
        <w:t>The literature also makes clear what the project is not: it is not the first attempt to use machine learning for restaurant inspection prediction, not the first attempt to predict future inspection violations, and not the first attempt to connect predictions to inspection prioritization. Those contributions already exist [1], [2], [4], [6], [7], [11]–[13].</w:t>
      </w:r>
    </w:p>
    <w:p>
      <w:r>
        <w:t>The strongest defensible contribution is therefore comparative and empirical: determine how much longitudinal DineSafe history contributes beyond static characteristics, how prediction changes with recency and history length, and whether those rankings remain useful under strict forward temporal validation. Toronto-specific evidence would be new within the limits of the literature search, but the novelty claim should remain “new empirical evidence and methodology applied to Toronto DineSafe,” not “new machine-learning problem.”</w:t>
      </w:r>
    </w:p>
    <w:p>
      <w:pPr>
        <w:pStyle w:val="Heading1"/>
      </w:pPr>
      <w:r>
        <w:t>13. IEEE-Style References</w:t>
      </w:r>
    </w:p>
    <w:p>
      <w:pPr>
        <w:spacing w:after="100"/>
      </w:pPr>
      <w:r>
        <w:t>[1] T. Schenk Jr., G. Leynes, A. Solanki, S. Collins, G. Smart, B. Albright, and D. Crippin, “Forecasting restaurants with critical violations in Chicago,” City of Chicago/Allstate Insurance, technical report, 2015. [Online]. Available: https://github.com/Chicago/food-inspections-evaluation</w:t>
      </w:r>
    </w:p>
    <w:p>
      <w:pPr>
        <w:spacing w:after="100"/>
      </w:pPr>
      <w:r>
        <w:t>[2] V. Kannan, M. A. Shapiro, and M. Bilgic, “Hindsight analysis of the Chicago food inspection forecasting model,” in Proc. AAAI Fall Symp. Series (FSS-19), Artificial Intelligence in Government and Public Sector, 2019. [Online]. Available: https://arxiv.org/abs/1910.04906</w:t>
      </w:r>
    </w:p>
    <w:p>
      <w:pPr>
        <w:spacing w:after="100"/>
      </w:pPr>
      <w:r>
        <w:t>[3] R. A. Oldroyd, M. A. Morris, and M. Birkin, “Food safety vulnerability: Neighbourhood determinants of non-compliant establishments in England and Wales,” Health &amp; Place, vol. 63, Art. no. 102325, 2020, doi: 10.1016/j.healthplace.2020.102325.</w:t>
      </w:r>
    </w:p>
    <w:p>
      <w:pPr>
        <w:spacing w:after="100"/>
      </w:pPr>
      <w:r>
        <w:t>[4] R. A. Oldroyd, M. A. Morris, and M. Birkin, “Predicting food safety compliance for informed food outlet inspections: A machine learning approach,” Int. J. Environ. Res. Public Health, vol. 18, no. 23, Art. no. 12635, 2021, doi: 10.3390/ijerph182312635.</w:t>
      </w:r>
    </w:p>
    <w:p>
      <w:pPr>
        <w:spacing w:after="100"/>
      </w:pPr>
      <w:r>
        <w:t>[5] J. R. Hartman, “A computer model to identify risk markers for food service sanitation violations associated with outbreaks of foodborne illness,” M.S. thesis, The Ohio State Univ., Columbus, OH, USA, 1992.</w:t>
      </w:r>
    </w:p>
    <w:p>
      <w:pPr>
        <w:spacing w:after="100"/>
      </w:pPr>
      <w:r>
        <w:t>[6] J. Hartman, “Predictive models for food code violations,” Food Protection Trends, vol. 40, no. 1, pp. 56–65, Jan. 2020.</w:t>
      </w:r>
    </w:p>
    <w:p>
      <w:pPr>
        <w:spacing w:after="100"/>
      </w:pPr>
      <w:r>
        <w:t>[7] A. Sadilek, S. Caty, L. DiPrete, R. Mansour, T. Schenk Jr., M. Bergtholdt, A. Jha, P. Ramaswami, and E. Gabrilovich, “Machine-learned epidemiology: Real-time detection of foodborne illness at scale,” npj Digital Medicine, vol. 1, Art. no. 36, 2018, doi: 10.1038/s41746-018-0045-1.</w:t>
      </w:r>
    </w:p>
    <w:p>
      <w:pPr>
        <w:spacing w:after="100"/>
      </w:pPr>
      <w:r>
        <w:t>[8] R. A. Oldroyd, M. A. Morris, and M. Birkin, “Predicting food safety compliance for informed food outlet inspections: A machine learning approach,” preprint version, 2021. [Online]. Available: https://www.preprints.org/manuscript/202103.0536</w:t>
      </w:r>
    </w:p>
    <w:p>
      <w:pPr>
        <w:spacing w:after="100"/>
      </w:pPr>
      <w:r>
        <w:t>[9] A. Besharah and H. Heacock, “Dinesafe Toronto: An evaluation of the placard system,” BCIT Environmental Public Health Journal, 2015, doi: 10.47339/ephj.2015.117.</w:t>
      </w:r>
    </w:p>
    <w:p>
      <w:pPr>
        <w:spacing w:after="100"/>
      </w:pPr>
      <w:r>
        <w:t>[10] A. Thandi, “A statistical comparison of restaurant infractions between Toronto and Vancouver,” BCIT Environmental Public Health Journal, British Columbia Institute of Technology, 2021.</w:t>
      </w:r>
    </w:p>
    <w:p>
      <w:pPr>
        <w:spacing w:after="100"/>
      </w:pPr>
      <w:r>
        <w:t>[11] O. F. Sari, M. Bader-El-Den, and V. Ince, “Explainable transformer-based modelling for pathogen-oriented food safety inspection grade prediction using New York State open data,” Foods, vol. 15, no. 2, Art. no. 223, Jan. 2026, doi: 10.3390/foods15020223.</w:t>
      </w:r>
    </w:p>
    <w:p>
      <w:pPr>
        <w:spacing w:after="100"/>
      </w:pPr>
      <w:r>
        <w:t>[12] L. Nalbone, S. Forgia, F. Giarratana, G. Ziino, S. Monaco, S. La Macchia, and A. Giuffrida, “Machine learning and food inspection: Use of Bayesian Network modeling to support official controls in the food industries,” Italian Journal of Food Safety, vol. 15, no. 2, 2026, doi: 10.4081/ijfs.2026.13491.</w:t>
      </w:r>
    </w:p>
    <w:p>
      <w:pPr>
        <w:spacing w:after="100"/>
      </w:pPr>
      <w:r>
        <w:t>[13] B. Okumus, E. Mugaloglu, and E. Koçak, “Pass or fail? Modeling restaurant inspection outcomes through interpretable machine learning,” International Journal of Hospitality Management, vol. 140, Art. no. 104810, online 2026, doi: 10.1016/j.ijhm.2026.104810.</w:t>
      </w:r>
    </w:p>
    <w:p>
      <w:pPr>
        <w:spacing w:after="100"/>
      </w:pPr>
      <w:r>
        <w:t>[14] City of Toronto, “DineSafe,” Toronto Public Health. [Online]. Available: https://www.toronto.ca/community-people/health-wellness-care/health-programs-advice/food-safety/dinesafe/. Accessed: Sep. 9, 2026.</w:t>
      </w:r>
    </w:p>
    <w:p>
      <w:pPr>
        <w:spacing w:after="100"/>
      </w:pPr>
      <w:r>
        <w:t>[15] City of Toronto Open Data, “Quarterly Update (Q2 2026),” Jul. 16, 2026. [Online]. Available: https://open.toronto.ca/quarterly-update-q2-2026/. Accessed: Sep. 9, 2026.</w:t>
      </w:r>
    </w:p>
    <w:p>
      <w:pPr>
        <w:pStyle w:val="Heading1"/>
      </w:pPr>
      <w:r>
        <w:t>14. Source-Verification Notes</w:t>
      </w:r>
    </w:p>
    <w:p>
      <w:r>
        <w:t>The bibliography was rebuilt from the publisher, journal, institutional repository, PubMed/PMC, and original project pages found during source verification. The 2026 New York, Italy, and Chicago studies were added because they materially update the state of the field relative to the earlier review. Where a source is a technical report, thesis, repository document, or official web page rather than a peer-reviewed journal article, it is explicitly labelled as such rather than being presented as peer-reviewed evidence.</w:t>
      </w:r>
    </w:p>
    <w:p>
      <w:r>
        <w:t>The DineSafe dataset statistics in Section 1 are from the user’s current file audit and should not be cited as literature findings. The paper-level claims in Sections 3–10 are supported by the references listed above. The novelty statements are research judgments based on the combined literature search, not guarantees that no unpublished or newly released work exists outside the searched sources.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Prepared for Project 2 research planning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Toronto DineSafe Inspection Prediction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