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79F9D" w14:textId="77777777" w:rsidR="00FF3C9F" w:rsidRPr="00FF3C9F" w:rsidRDefault="00FF3C9F" w:rsidP="00FF3C9F">
      <w:r w:rsidRPr="00FF3C9F">
        <w:t>CATEGORY OVERVIEW</w:t>
      </w:r>
    </w:p>
    <w:p w14:paraId="4AF30B4C" w14:textId="77777777" w:rsidR="00FF3C9F" w:rsidRPr="00FF3C9F" w:rsidRDefault="00FF3C9F" w:rsidP="00FF3C9F">
      <w:r w:rsidRPr="00FF3C9F">
        <w:t>Structural Tailwinds / Headwinds</w:t>
      </w:r>
    </w:p>
    <w:p w14:paraId="69054477" w14:textId="77777777" w:rsidR="00FF3C9F" w:rsidRPr="00FF3C9F" w:rsidRDefault="00FF3C9F" w:rsidP="00FF3C9F">
      <w:pPr>
        <w:numPr>
          <w:ilvl w:val="0"/>
          <w:numId w:val="1"/>
        </w:numPr>
      </w:pPr>
      <w:r w:rsidRPr="00FF3C9F">
        <w:t>Demographics &amp; Wallet-share</w:t>
      </w:r>
      <w:r w:rsidRPr="00FF3C9F">
        <w:br/>
        <w:t>• Heavy reliance on 55-plus, high-net-worth travelers; deck presents this as a durable, “unprecedented” tailwind with 14 % p.a. growth in target cohort—high management conviction.</w:t>
      </w:r>
      <w:r w:rsidRPr="00FF3C9F">
        <w:br/>
        <w:t>• Shift toward “experiences over goods” and wellness tourism highlighted as secular boosts; tone: highly bullish, few caveats.</w:t>
      </w:r>
    </w:p>
    <w:p w14:paraId="0A206B9D" w14:textId="77777777" w:rsidR="00FF3C9F" w:rsidRPr="00FF3C9F" w:rsidRDefault="00FF3C9F" w:rsidP="00FF3C9F">
      <w:pPr>
        <w:numPr>
          <w:ilvl w:val="0"/>
          <w:numId w:val="1"/>
        </w:numPr>
      </w:pPr>
      <w:r w:rsidRPr="00FF3C9F">
        <w:t>Regulatory / ESG</w:t>
      </w:r>
      <w:r w:rsidRPr="00FF3C9F">
        <w:br/>
        <w:t>• Mannheim Act compliance &amp; net-zero shipping targets acknowledged; deck calls issues “manageable,” implying low perceived headwind.</w:t>
      </w:r>
      <w:r w:rsidRPr="00FF3C9F">
        <w:br/>
        <w:t>• Quick recovery narrative after terrorism &amp; COVID used to bolster resilience argument.</w:t>
      </w:r>
    </w:p>
    <w:p w14:paraId="18CD2C78" w14:textId="77777777" w:rsidR="00FF3C9F" w:rsidRPr="00FF3C9F" w:rsidRDefault="00FF3C9F" w:rsidP="00FF3C9F">
      <w:pPr>
        <w:numPr>
          <w:ilvl w:val="0"/>
          <w:numId w:val="1"/>
        </w:numPr>
      </w:pPr>
      <w:r w:rsidRPr="00FF3C9F">
        <w:t>Macro Sensitivity</w:t>
      </w:r>
      <w:r w:rsidRPr="00FF3C9F">
        <w:br/>
        <w:t>• River cruise framed as more recession-proof than discretionary peers; downside model still yields 2.1× MOIC. Conviction: strong, supported by 2008/09 and 2020 anecdotes.</w:t>
      </w:r>
    </w:p>
    <w:p w14:paraId="122FC78C" w14:textId="77777777" w:rsidR="00FF3C9F" w:rsidRPr="00FF3C9F" w:rsidRDefault="00FF3C9F" w:rsidP="00FF3C9F">
      <w:r w:rsidRPr="00FF3C9F">
        <w:t>Competitive Landscape</w:t>
      </w:r>
    </w:p>
    <w:p w14:paraId="4E06F211" w14:textId="77777777" w:rsidR="00FF3C9F" w:rsidRPr="00FF3C9F" w:rsidRDefault="00FF3C9F" w:rsidP="00FF3C9F">
      <w:pPr>
        <w:numPr>
          <w:ilvl w:val="0"/>
          <w:numId w:val="2"/>
        </w:numPr>
      </w:pPr>
      <w:r w:rsidRPr="00FF3C9F">
        <w:t>Concentration &amp; Share</w:t>
      </w:r>
      <w:r w:rsidRPr="00FF3C9F">
        <w:br/>
        <w:t>• Market described as ~$7 B with Viking dominant (~21 % of EU beds) and Ama #2 premium (~8 %); tone suggests “scarcity value” for scaled independent assets—implying moderate but acceptable concentration.</w:t>
      </w:r>
    </w:p>
    <w:p w14:paraId="7B815675" w14:textId="77777777" w:rsidR="00FF3C9F" w:rsidRPr="00FF3C9F" w:rsidRDefault="00FF3C9F" w:rsidP="00FF3C9F">
      <w:pPr>
        <w:numPr>
          <w:ilvl w:val="0"/>
          <w:numId w:val="2"/>
        </w:numPr>
      </w:pPr>
      <w:r w:rsidRPr="00FF3C9F">
        <w:t>Pricing Discipline</w:t>
      </w:r>
      <w:r w:rsidRPr="00FF3C9F">
        <w:br/>
        <w:t>• Vessel-level breakeven ~30 % occupancy; 100 % flow-through on price increases cited to argue favorable economics and limited price wars.</w:t>
      </w:r>
    </w:p>
    <w:p w14:paraId="2BDEB001" w14:textId="77777777" w:rsidR="00FF3C9F" w:rsidRPr="00FF3C9F" w:rsidRDefault="00FF3C9F" w:rsidP="00FF3C9F">
      <w:pPr>
        <w:numPr>
          <w:ilvl w:val="0"/>
          <w:numId w:val="2"/>
        </w:numPr>
      </w:pPr>
      <w:r w:rsidRPr="00FF3C9F">
        <w:t>New Entrants</w:t>
      </w:r>
      <w:r w:rsidRPr="00FF3C9F">
        <w:br/>
        <w:t>• Few scaled independents; emphasis on constrained shipyard slots &amp; pilot-dependency for river permits. Deck argues entry will stay limited; conviction level: high.</w:t>
      </w:r>
    </w:p>
    <w:p w14:paraId="1912E69D" w14:textId="77777777" w:rsidR="00FF3C9F" w:rsidRPr="00FF3C9F" w:rsidRDefault="00FF3C9F" w:rsidP="00FF3C9F">
      <w:r w:rsidRPr="00FF3C9F">
        <w:t>Substitution Risks</w:t>
      </w:r>
    </w:p>
    <w:p w14:paraId="0525DD1F" w14:textId="77777777" w:rsidR="00FF3C9F" w:rsidRPr="00FF3C9F" w:rsidRDefault="00FF3C9F" w:rsidP="00FF3C9F">
      <w:pPr>
        <w:numPr>
          <w:ilvl w:val="0"/>
          <w:numId w:val="3"/>
        </w:numPr>
      </w:pPr>
      <w:r w:rsidRPr="00FF3C9F">
        <w:t>Alternative Vacation Formats</w:t>
      </w:r>
      <w:r w:rsidRPr="00FF3C9F">
        <w:br/>
        <w:t xml:space="preserve">• Ocean cruises, escorted land tours, and luxury rail noted only in passing; </w:t>
      </w:r>
      <w:r w:rsidRPr="00FF3C9F">
        <w:lastRenderedPageBreak/>
        <w:t>management downplays substitution via “small-group, high-touch” differentiation.</w:t>
      </w:r>
      <w:r w:rsidRPr="00FF3C9F">
        <w:br/>
        <w:t>• Tech disruptors (Airbnb-style platforms) not flagged—marked “Not Specified.”</w:t>
      </w:r>
    </w:p>
    <w:p w14:paraId="18A097B3" w14:textId="77777777" w:rsidR="00FF3C9F" w:rsidRPr="00FF3C9F" w:rsidRDefault="00FF3C9F" w:rsidP="00FF3C9F">
      <w:pPr>
        <w:numPr>
          <w:ilvl w:val="0"/>
          <w:numId w:val="3"/>
        </w:numPr>
      </w:pPr>
      <w:r w:rsidRPr="00FF3C9F">
        <w:t>Switching Costs</w:t>
      </w:r>
      <w:r w:rsidRPr="00FF3C9F">
        <w:br/>
        <w:t>• Loyalty metrics (NPS 57 %, 54 % repeat-rate) touted; narrative implies moderate switching friction once a guest sails.</w:t>
      </w:r>
    </w:p>
    <w:p w14:paraId="63E872A9" w14:textId="77777777" w:rsidR="00FF3C9F" w:rsidRPr="00FF3C9F" w:rsidRDefault="00FF3C9F" w:rsidP="00FF3C9F">
      <w:r w:rsidRPr="00FF3C9F">
        <w:t>Barriers to Entry</w:t>
      </w:r>
    </w:p>
    <w:p w14:paraId="6783A5EB" w14:textId="77777777" w:rsidR="00FF3C9F" w:rsidRPr="00FF3C9F" w:rsidRDefault="00FF3C9F" w:rsidP="00FF3C9F">
      <w:pPr>
        <w:numPr>
          <w:ilvl w:val="0"/>
          <w:numId w:val="4"/>
        </w:numPr>
      </w:pPr>
      <w:r w:rsidRPr="00FF3C9F">
        <w:t>Capital &amp; Permits</w:t>
      </w:r>
      <w:r w:rsidRPr="00FF3C9F">
        <w:br/>
        <w:t>• ~$26 M build cost per vessel + multi-year shipyard queue + river docking rights positioned as sizable barriers; tone: definitive.</w:t>
      </w:r>
    </w:p>
    <w:p w14:paraId="4081111F" w14:textId="77777777" w:rsidR="00FF3C9F" w:rsidRPr="00FF3C9F" w:rsidRDefault="00FF3C9F" w:rsidP="00FF3C9F">
      <w:pPr>
        <w:numPr>
          <w:ilvl w:val="0"/>
          <w:numId w:val="4"/>
        </w:numPr>
      </w:pPr>
      <w:r w:rsidRPr="00FF3C9F">
        <w:t>Brand &amp; Distribution</w:t>
      </w:r>
      <w:r w:rsidRPr="00FF3C9F">
        <w:br/>
        <w:t>• Travel-agent relationships and “low consumer awareness” stated as exploitable moat; deck claims agents still drive 70-90 % of bookings—confidence high.</w:t>
      </w:r>
    </w:p>
    <w:p w14:paraId="327AA98E" w14:textId="77777777" w:rsidR="00FF3C9F" w:rsidRPr="00FF3C9F" w:rsidRDefault="00FF3C9F" w:rsidP="00FF3C9F">
      <w:pPr>
        <w:numPr>
          <w:ilvl w:val="0"/>
          <w:numId w:val="4"/>
        </w:numPr>
      </w:pPr>
      <w:r w:rsidRPr="00FF3C9F">
        <w:t>Operating Complexity</w:t>
      </w:r>
      <w:r w:rsidRPr="00FF3C9F">
        <w:br/>
        <w:t>• Need for outsourced nautical, hoteling, and multiple jurisdiction compliance cited; deck treats this as deterrent to newcomers, albeit manageable for Ama.</w:t>
      </w:r>
    </w:p>
    <w:p w14:paraId="26C77784" w14:textId="77777777" w:rsidR="00FF3C9F" w:rsidRPr="00FF3C9F" w:rsidRDefault="00FF3C9F" w:rsidP="00FF3C9F">
      <w:r w:rsidRPr="00FF3C9F">
        <w:t>Overall, the bring-down conveys high conviction that river cruising enjoys durable, under-penetrated growth with limited competitive or substitution threats, and presents headwinds (geopolitics, water levels, ESG) as containable.</w:t>
      </w:r>
    </w:p>
    <w:p w14:paraId="2643C603" w14:textId="77777777" w:rsidR="00FF3C9F" w:rsidRPr="00FF3C9F" w:rsidRDefault="00FF3C9F" w:rsidP="00FF3C9F">
      <w:r w:rsidRPr="00FF3C9F">
        <w:t>COMPANY OVERVIEW</w:t>
      </w:r>
    </w:p>
    <w:p w14:paraId="111024E7" w14:textId="77777777" w:rsidR="00FF3C9F" w:rsidRPr="00FF3C9F" w:rsidRDefault="00FF3C9F" w:rsidP="00FF3C9F">
      <w:r w:rsidRPr="00FF3C9F">
        <w:t>Market Position</w:t>
      </w:r>
    </w:p>
    <w:p w14:paraId="33647428" w14:textId="77777777" w:rsidR="00FF3C9F" w:rsidRPr="00FF3C9F" w:rsidRDefault="00FF3C9F" w:rsidP="00FF3C9F">
      <w:pPr>
        <w:numPr>
          <w:ilvl w:val="0"/>
          <w:numId w:val="5"/>
        </w:numPr>
      </w:pPr>
      <w:r w:rsidRPr="00FF3C9F">
        <w:t>#2 scaled brand in premium river cruising; 25 vessels vs. Viking’s ~80 (pg 16)</w:t>
      </w:r>
    </w:p>
    <w:p w14:paraId="2FC8EBE3" w14:textId="77777777" w:rsidR="00FF3C9F" w:rsidRPr="00FF3C9F" w:rsidRDefault="00FF3C9F" w:rsidP="00FF3C9F">
      <w:pPr>
        <w:numPr>
          <w:ilvl w:val="0"/>
          <w:numId w:val="5"/>
        </w:numPr>
      </w:pPr>
      <w:r w:rsidRPr="00FF3C9F">
        <w:t>Controls ~8 % of European river berth capacity—presented as “scarce &amp; scaled” asset in a fragmented $7 B category (pg 3, 16)</w:t>
      </w:r>
    </w:p>
    <w:p w14:paraId="4A0E36A3" w14:textId="77777777" w:rsidR="00FF3C9F" w:rsidRPr="00FF3C9F" w:rsidRDefault="00FF3C9F" w:rsidP="00FF3C9F">
      <w:pPr>
        <w:numPr>
          <w:ilvl w:val="0"/>
          <w:numId w:val="5"/>
        </w:numPr>
      </w:pPr>
      <w:r w:rsidRPr="00FF3C9F">
        <w:t>Narrative stresses scarcity value; multiples benchmarked against larger ocean</w:t>
      </w:r>
      <w:r w:rsidRPr="00FF3C9F">
        <w:rPr>
          <w:rFonts w:ascii="Cambria Math" w:hAnsi="Cambria Math" w:cs="Cambria Math"/>
        </w:rPr>
        <w:t>‐</w:t>
      </w:r>
      <w:r w:rsidRPr="00FF3C9F">
        <w:t>cruise comps to suggest undervaluation</w:t>
      </w:r>
      <w:r w:rsidRPr="00FF3C9F">
        <w:rPr>
          <w:rFonts w:ascii="Aptos" w:hAnsi="Aptos" w:cs="Aptos"/>
        </w:rPr>
        <w:t>—</w:t>
      </w:r>
      <w:r w:rsidRPr="00FF3C9F">
        <w:t>confidence level high, data moderate</w:t>
      </w:r>
    </w:p>
    <w:p w14:paraId="1E52D685" w14:textId="77777777" w:rsidR="00FF3C9F" w:rsidRPr="00FF3C9F" w:rsidRDefault="00FF3C9F" w:rsidP="00FF3C9F">
      <w:r w:rsidRPr="00FF3C9F">
        <w:t>Competitive Advantages</w:t>
      </w:r>
    </w:p>
    <w:p w14:paraId="6AFC74D8" w14:textId="77777777" w:rsidR="00FF3C9F" w:rsidRPr="00FF3C9F" w:rsidRDefault="00FF3C9F" w:rsidP="00FF3C9F">
      <w:pPr>
        <w:numPr>
          <w:ilvl w:val="0"/>
          <w:numId w:val="6"/>
        </w:numPr>
      </w:pPr>
      <w:r w:rsidRPr="00FF3C9F">
        <w:t>Consistently high vessel-level economics: 42 % VLEBITDA margin &amp; 46 %+ ROIC even at 76 % post-Covid occupancy (pg 20)</w:t>
      </w:r>
    </w:p>
    <w:p w14:paraId="721B7C13" w14:textId="77777777" w:rsidR="00FF3C9F" w:rsidRPr="00FF3C9F" w:rsidRDefault="00FF3C9F" w:rsidP="00FF3C9F">
      <w:pPr>
        <w:numPr>
          <w:ilvl w:val="0"/>
          <w:numId w:val="6"/>
        </w:numPr>
      </w:pPr>
      <w:r w:rsidRPr="00FF3C9F">
        <w:t>Differentiators framed around experiential quality—small ships, high NPS (57) and FPI (48) vs. peers; dining, service, rooms rank #1/#2 in text-analytics scrape (pg 30)</w:t>
      </w:r>
    </w:p>
    <w:p w14:paraId="2373DD9D" w14:textId="77777777" w:rsidR="00FF3C9F" w:rsidRPr="00FF3C9F" w:rsidRDefault="00FF3C9F" w:rsidP="00FF3C9F">
      <w:pPr>
        <w:numPr>
          <w:ilvl w:val="0"/>
          <w:numId w:val="6"/>
        </w:numPr>
      </w:pPr>
      <w:r w:rsidRPr="00FF3C9F">
        <w:lastRenderedPageBreak/>
        <w:t>Low brand awareness (55 % vs. Viking 91 %) portrayed as upside; implies moat through latent demand, not current scale—conviction articulated but proof is forward-looking</w:t>
      </w:r>
    </w:p>
    <w:p w14:paraId="2F099B7D" w14:textId="77777777" w:rsidR="00FF3C9F" w:rsidRPr="00FF3C9F" w:rsidRDefault="00FF3C9F" w:rsidP="00FF3C9F">
      <w:r w:rsidRPr="00FF3C9F">
        <w:t>Customer Base</w:t>
      </w:r>
    </w:p>
    <w:p w14:paraId="1E9EE0E1" w14:textId="77777777" w:rsidR="00FF3C9F" w:rsidRPr="00FF3C9F" w:rsidRDefault="00FF3C9F" w:rsidP="00FF3C9F">
      <w:pPr>
        <w:numPr>
          <w:ilvl w:val="0"/>
          <w:numId w:val="7"/>
        </w:numPr>
      </w:pPr>
      <w:r w:rsidRPr="00FF3C9F">
        <w:t>90 % North-American, 55+ affluent travelers; 54 % of first-time guests repeat, best among peers (pg 32)</w:t>
      </w:r>
    </w:p>
    <w:p w14:paraId="5025E2BE" w14:textId="77777777" w:rsidR="00FF3C9F" w:rsidRPr="00FF3C9F" w:rsidRDefault="00FF3C9F" w:rsidP="00FF3C9F">
      <w:pPr>
        <w:numPr>
          <w:ilvl w:val="0"/>
          <w:numId w:val="7"/>
        </w:numPr>
      </w:pPr>
      <w:r w:rsidRPr="00FF3C9F">
        <w:t>~30 % of bookings driven by travel-agent recommendation; shows strong B2B loyalty (pg 17)</w:t>
      </w:r>
    </w:p>
    <w:p w14:paraId="5878660B" w14:textId="77777777" w:rsidR="00FF3C9F" w:rsidRPr="00FF3C9F" w:rsidRDefault="00FF3C9F" w:rsidP="00FF3C9F">
      <w:pPr>
        <w:numPr>
          <w:ilvl w:val="0"/>
          <w:numId w:val="7"/>
        </w:numPr>
      </w:pPr>
      <w:r w:rsidRPr="00FF3C9F">
        <w:t>Retention evidence (repeat-only on Ama, repeat rate 36 %) used to argue stickiness; qualitative emphasis stronger than raw churn metrics</w:t>
      </w:r>
    </w:p>
    <w:p w14:paraId="1DEF97BA" w14:textId="77777777" w:rsidR="00FF3C9F" w:rsidRPr="00FF3C9F" w:rsidRDefault="00FF3C9F" w:rsidP="00FF3C9F">
      <w:r w:rsidRPr="00FF3C9F">
        <w:t>Supply Chain &amp; Footprint</w:t>
      </w:r>
    </w:p>
    <w:p w14:paraId="0B9C8B59" w14:textId="77777777" w:rsidR="00FF3C9F" w:rsidRPr="00FF3C9F" w:rsidRDefault="00FF3C9F" w:rsidP="00FF3C9F">
      <w:pPr>
        <w:numPr>
          <w:ilvl w:val="0"/>
          <w:numId w:val="8"/>
        </w:numPr>
      </w:pPr>
      <w:r w:rsidRPr="00FF3C9F">
        <w:t>Outsourced operating partners (SeaChefs, Rivertech) rated “scalable” with 17-yr relationships, no red flags (pg 41)</w:t>
      </w:r>
    </w:p>
    <w:p w14:paraId="0F9A8178" w14:textId="77777777" w:rsidR="00FF3C9F" w:rsidRPr="00FF3C9F" w:rsidRDefault="00FF3C9F" w:rsidP="00FF3C9F">
      <w:pPr>
        <w:numPr>
          <w:ilvl w:val="0"/>
          <w:numId w:val="8"/>
        </w:numPr>
      </w:pPr>
      <w:r w:rsidRPr="00FF3C9F">
        <w:t>Shifted newbuilds to TeamCo shipyard in 2019; capacity said “unconstrained” for future growth (pg 42)</w:t>
      </w:r>
    </w:p>
    <w:p w14:paraId="35658B8C" w14:textId="77777777" w:rsidR="00FF3C9F" w:rsidRPr="00FF3C9F" w:rsidRDefault="00FF3C9F" w:rsidP="00FF3C9F">
      <w:pPr>
        <w:numPr>
          <w:ilvl w:val="0"/>
          <w:numId w:val="8"/>
        </w:numPr>
      </w:pPr>
      <w:r w:rsidRPr="00FF3C9F">
        <w:t>White-space: internal analysis claims potential for +50 vessels long-term; Base Case assumes +8, signaling prudent underwriting (pg 38, 40)</w:t>
      </w:r>
    </w:p>
    <w:p w14:paraId="13A7411F" w14:textId="77777777" w:rsidR="00FF3C9F" w:rsidRPr="00FF3C9F" w:rsidRDefault="00FF3C9F" w:rsidP="00FF3C9F">
      <w:pPr>
        <w:numPr>
          <w:ilvl w:val="0"/>
          <w:numId w:val="8"/>
        </w:numPr>
      </w:pPr>
      <w:r w:rsidRPr="00FF3C9F">
        <w:t>Geographic footprint: heavy EU (Rhine, Danube, Seine = 87 % capacity) plus nascent exotic rivers; expansion plan aligns with supply partners’ capacity—confidence moderate, execution risk acknowledged</w:t>
      </w:r>
    </w:p>
    <w:p w14:paraId="609A86BA" w14:textId="77777777" w:rsidR="003535BD" w:rsidRDefault="003535BD" w:rsidP="003535B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30" w:lineRule="atLeast"/>
        <w:rPr>
          <w:rFonts w:ascii="IBM Plex Sans" w:hAnsi="IBM Plex Sans"/>
          <w:color w:val="01011B"/>
          <w:sz w:val="21"/>
          <w:szCs w:val="21"/>
        </w:rPr>
      </w:pPr>
      <w:r>
        <w:rPr>
          <w:rStyle w:val="Strong"/>
          <w:rFonts w:ascii="IBM Plex Sans" w:eastAsiaTheme="majorEastAsia" w:hAnsi="IBM Plex Sans"/>
          <w:b w:val="0"/>
          <w:bCs w:val="0"/>
          <w:color w:val="01011B"/>
          <w:sz w:val="21"/>
          <w:szCs w:val="21"/>
        </w:rPr>
        <w:t>INVESTMENT THESIS</w:t>
      </w:r>
    </w:p>
    <w:p w14:paraId="232F6ADC" w14:textId="77777777" w:rsidR="003535BD" w:rsidRDefault="003535BD" w:rsidP="003535B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30" w:lineRule="atLeast"/>
        <w:rPr>
          <w:rFonts w:ascii="IBM Plex Sans" w:hAnsi="IBM Plex Sans"/>
          <w:color w:val="01011B"/>
          <w:sz w:val="21"/>
          <w:szCs w:val="21"/>
        </w:rPr>
      </w:pPr>
      <w:r>
        <w:rPr>
          <w:rStyle w:val="Strong"/>
          <w:rFonts w:ascii="IBM Plex Sans" w:eastAsiaTheme="majorEastAsia" w:hAnsi="IBM Plex Sans"/>
          <w:b w:val="0"/>
          <w:bCs w:val="0"/>
          <w:color w:val="01011B"/>
          <w:sz w:val="21"/>
          <w:szCs w:val="21"/>
        </w:rPr>
        <w:t>Value Proposition</w:t>
      </w:r>
      <w:r>
        <w:rPr>
          <w:rFonts w:ascii="IBM Plex Sans" w:hAnsi="IBM Plex Sans"/>
          <w:color w:val="01011B"/>
          <w:sz w:val="21"/>
          <w:szCs w:val="21"/>
        </w:rPr>
        <w:br/>
        <w:t>• Scarce, scaled premium river-cruise platform with industry-leading vessel-level ROICs (&gt;46%) and FCF conversion (~65% pre-COVID).</w:t>
      </w:r>
      <w:r>
        <w:rPr>
          <w:rFonts w:ascii="IBM Plex Sans" w:hAnsi="IBM Plex Sans"/>
          <w:color w:val="01011B"/>
          <w:sz w:val="21"/>
          <w:szCs w:val="21"/>
        </w:rPr>
        <w:br/>
        <w:t>• Differentiated guest experience (top-two NPS and FPI vs. peers) but still only 55% unaided brand awareness – management frames this “latent demand” as a free growth lever.</w:t>
      </w:r>
      <w:r>
        <w:rPr>
          <w:rFonts w:ascii="IBM Plex Sans" w:hAnsi="IBM Plex Sans"/>
          <w:color w:val="01011B"/>
          <w:sz w:val="21"/>
          <w:szCs w:val="21"/>
        </w:rPr>
        <w:br/>
        <w:t>• Entry at 9.1x ’24E EBITDA (below 10.5x long-term cruise averages) presented as “buying quality at market multiple,” reinforced by 15% founder rollover and no unprofitable ships.</w:t>
      </w:r>
      <w:r>
        <w:rPr>
          <w:rFonts w:ascii="IBM Plex Sans" w:hAnsi="IBM Plex Sans"/>
          <w:color w:val="01011B"/>
          <w:sz w:val="21"/>
          <w:szCs w:val="21"/>
        </w:rPr>
        <w:br/>
        <w:t>• High downside protection stressed: breakeven occupancy ~30%, rapid historical recovery after shocks, and outsourced cost base viewed as variable.</w:t>
      </w:r>
    </w:p>
    <w:p w14:paraId="6D2332DD" w14:textId="77777777" w:rsidR="003535BD" w:rsidRDefault="003535BD" w:rsidP="003535B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30" w:lineRule="atLeast"/>
        <w:rPr>
          <w:rFonts w:ascii="IBM Plex Sans" w:hAnsi="IBM Plex Sans"/>
          <w:color w:val="01011B"/>
          <w:sz w:val="21"/>
          <w:szCs w:val="21"/>
        </w:rPr>
      </w:pPr>
      <w:r>
        <w:rPr>
          <w:rStyle w:val="Strong"/>
          <w:rFonts w:ascii="IBM Plex Sans" w:eastAsiaTheme="majorEastAsia" w:hAnsi="IBM Plex Sans"/>
          <w:b w:val="0"/>
          <w:bCs w:val="0"/>
          <w:color w:val="01011B"/>
          <w:sz w:val="21"/>
          <w:szCs w:val="21"/>
        </w:rPr>
        <w:t>Market Opportunity</w:t>
      </w:r>
      <w:r>
        <w:rPr>
          <w:rFonts w:ascii="IBM Plex Sans" w:hAnsi="IBM Plex Sans"/>
          <w:color w:val="01011B"/>
          <w:sz w:val="21"/>
          <w:szCs w:val="21"/>
        </w:rPr>
        <w:br/>
        <w:t xml:space="preserve">• River-cruise TAM quoted at ~$7 B with 6% CAGR through 2028; premium/luxury segment </w:t>
      </w:r>
      <w:r>
        <w:rPr>
          <w:rFonts w:ascii="IBM Plex Sans" w:hAnsi="IBM Plex Sans"/>
          <w:color w:val="01011B"/>
          <w:sz w:val="21"/>
          <w:szCs w:val="21"/>
        </w:rPr>
        <w:lastRenderedPageBreak/>
        <w:t>said to be growing faster (page 24).</w:t>
      </w:r>
      <w:r>
        <w:rPr>
          <w:rFonts w:ascii="IBM Plex Sans" w:hAnsi="IBM Plex Sans"/>
          <w:color w:val="01011B"/>
          <w:sz w:val="21"/>
          <w:szCs w:val="21"/>
        </w:rPr>
        <w:br/>
        <w:t>• Secular drivers translated into generic growth concepts: ageing affluent cohort, shift to experiences, growing non-US demand, small-group travel preference.</w:t>
      </w:r>
      <w:r>
        <w:rPr>
          <w:rFonts w:ascii="IBM Plex Sans" w:hAnsi="IBM Plex Sans"/>
          <w:color w:val="01011B"/>
          <w:sz w:val="21"/>
          <w:szCs w:val="21"/>
        </w:rPr>
        <w:br/>
        <w:t>• “White-space” analysis (page 38) claims potential for 3.6× industry expansion and ~50 additional Ama vessels; positioned as long-term capacity runway.</w:t>
      </w:r>
      <w:r>
        <w:rPr>
          <w:rFonts w:ascii="IBM Plex Sans" w:hAnsi="IBM Plex Sans"/>
          <w:color w:val="01011B"/>
          <w:sz w:val="21"/>
          <w:szCs w:val="21"/>
        </w:rPr>
        <w:br/>
        <w:t>• Resilience narrative: charts show cruise passenger counts rising every recession; downside scenario modelled at only 4-8 % revenue hit. Tone is emphatically confident.</w:t>
      </w:r>
    </w:p>
    <w:p w14:paraId="7A634A48" w14:textId="77777777" w:rsidR="003535BD" w:rsidRDefault="003535BD" w:rsidP="003535B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30" w:lineRule="atLeast"/>
        <w:rPr>
          <w:rFonts w:ascii="IBM Plex Sans" w:hAnsi="IBM Plex Sans"/>
          <w:color w:val="01011B"/>
          <w:sz w:val="21"/>
          <w:szCs w:val="21"/>
        </w:rPr>
      </w:pPr>
      <w:r>
        <w:rPr>
          <w:rStyle w:val="Strong"/>
          <w:rFonts w:ascii="IBM Plex Sans" w:eastAsiaTheme="majorEastAsia" w:hAnsi="IBM Plex Sans"/>
          <w:b w:val="0"/>
          <w:bCs w:val="0"/>
          <w:color w:val="01011B"/>
          <w:sz w:val="21"/>
          <w:szCs w:val="21"/>
        </w:rPr>
        <w:t>Strategic Rationale</w:t>
      </w:r>
      <w:r>
        <w:rPr>
          <w:rFonts w:ascii="IBM Plex Sans" w:hAnsi="IBM Plex Sans"/>
          <w:color w:val="01011B"/>
          <w:sz w:val="21"/>
          <w:szCs w:val="21"/>
        </w:rPr>
        <w:br/>
        <w:t>• “Why this asset”: second-largest independent brand; few scaled platforms left, creating scarcity value for future exit.</w:t>
      </w:r>
      <w:r>
        <w:rPr>
          <w:rFonts w:ascii="IBM Plex Sans" w:hAnsi="IBM Plex Sans"/>
          <w:color w:val="01011B"/>
          <w:sz w:val="21"/>
          <w:szCs w:val="21"/>
        </w:rPr>
        <w:br/>
        <w:t>• “Why now”: 2024 booking curves already above 2019, letting sponsor underwrite a step-function EBITDA rebound (8.2× Mgmt / 9.1× base multiple).</w:t>
      </w:r>
      <w:r>
        <w:rPr>
          <w:rFonts w:ascii="IBM Plex Sans" w:hAnsi="IBM Plex Sans"/>
          <w:color w:val="01011B"/>
          <w:sz w:val="21"/>
          <w:szCs w:val="21"/>
        </w:rPr>
        <w:br/>
        <w:t>• Multiple actionable levers detailed and costed – direct-to-consumer mix, revenue-management uplift (+4% yield benchmark), +8 contracted/new vessels, optional LVMH partnership, and M&amp;A roll-ups.</w:t>
      </w:r>
      <w:r>
        <w:rPr>
          <w:rFonts w:ascii="IBM Plex Sans" w:hAnsi="IBM Plex Sans"/>
          <w:color w:val="01011B"/>
          <w:sz w:val="21"/>
          <w:szCs w:val="21"/>
        </w:rPr>
        <w:br/>
        <w:t>• Emphasis on conservative modelling (lower occupancy, higher marketing, FX drag) to signal prudence; dividend recap within 12 months flagged to accelerate MOIC.</w:t>
      </w:r>
    </w:p>
    <w:p w14:paraId="4E25B20D" w14:textId="77777777" w:rsidR="003535BD" w:rsidRDefault="003535BD" w:rsidP="003535B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30" w:lineRule="atLeast"/>
        <w:rPr>
          <w:rFonts w:ascii="IBM Plex Sans" w:hAnsi="IBM Plex Sans"/>
          <w:color w:val="01011B"/>
          <w:sz w:val="21"/>
          <w:szCs w:val="21"/>
        </w:rPr>
      </w:pPr>
      <w:r>
        <w:rPr>
          <w:rStyle w:val="Strong"/>
          <w:rFonts w:ascii="IBM Plex Sans" w:eastAsiaTheme="majorEastAsia" w:hAnsi="IBM Plex Sans"/>
          <w:b w:val="0"/>
          <w:bCs w:val="0"/>
          <w:color w:val="01011B"/>
          <w:sz w:val="21"/>
          <w:szCs w:val="21"/>
        </w:rPr>
        <w:t>Key Success Factors</w:t>
      </w:r>
      <w:r>
        <w:rPr>
          <w:rFonts w:ascii="IBM Plex Sans" w:hAnsi="IBM Plex Sans"/>
          <w:color w:val="01011B"/>
          <w:sz w:val="21"/>
          <w:szCs w:val="21"/>
        </w:rPr>
        <w:br/>
        <w:t>• Scaling direct channel from 10 % to 15 % (base) and 30 % (alpha) without alienating agents; requires data stack, call-centre build-out and CMO hire.</w:t>
      </w:r>
      <w:r>
        <w:rPr>
          <w:rFonts w:ascii="IBM Plex Sans" w:hAnsi="IBM Plex Sans"/>
          <w:color w:val="01011B"/>
          <w:sz w:val="21"/>
          <w:szCs w:val="21"/>
        </w:rPr>
        <w:br/>
        <w:t>• Accelerated fleet delivery: reliance on TeamCo shipyard and RiverTech/SeaChefs partners—diligence marks capacity/scalability as “green.”</w:t>
      </w:r>
      <w:r>
        <w:rPr>
          <w:rFonts w:ascii="IBM Plex Sans" w:hAnsi="IBM Plex Sans"/>
          <w:color w:val="01011B"/>
          <w:sz w:val="21"/>
          <w:szCs w:val="21"/>
        </w:rPr>
        <w:br/>
        <w:t>• Sophisticated revenue-management discipline (dynamic pricing, attach-rate optimisation) – currently “immature,” seen as quick win.</w:t>
      </w:r>
      <w:r>
        <w:rPr>
          <w:rFonts w:ascii="IBM Plex Sans" w:hAnsi="IBM Plex Sans"/>
          <w:color w:val="01011B"/>
          <w:sz w:val="21"/>
          <w:szCs w:val="21"/>
        </w:rPr>
        <w:br/>
        <w:t>• Brand-building spend uplift to 7.5 % of revenue while preserving margins via 100 % price flow-through and 80 % incremental passenger contribution.</w:t>
      </w:r>
      <w:r>
        <w:rPr>
          <w:rFonts w:ascii="IBM Plex Sans" w:hAnsi="IBM Plex Sans"/>
          <w:color w:val="01011B"/>
          <w:sz w:val="21"/>
          <w:szCs w:val="21"/>
        </w:rPr>
        <w:br/>
        <w:t>• Maintaining regulatory and operational reliability (water-level routing, geopolitical flexibility) to protect occupancy thesis.</w:t>
      </w:r>
    </w:p>
    <w:p w14:paraId="172C8D58" w14:textId="77777777" w:rsidR="003535BD" w:rsidRDefault="003535BD" w:rsidP="003535BD">
      <w:pPr>
        <w:pStyle w:val="NormalWeb"/>
        <w:numPr>
          <w:ilvl w:val="0"/>
          <w:numId w:val="8"/>
        </w:numPr>
        <w:shd w:val="clear" w:color="auto" w:fill="FFFFFF"/>
        <w:spacing w:before="15" w:beforeAutospacing="0" w:after="0" w:afterAutospacing="0" w:line="330" w:lineRule="atLeast"/>
        <w:rPr>
          <w:rFonts w:ascii="IBM Plex Sans" w:hAnsi="IBM Plex Sans"/>
          <w:color w:val="01011B"/>
          <w:sz w:val="21"/>
          <w:szCs w:val="21"/>
        </w:rPr>
      </w:pPr>
      <w:r>
        <w:rPr>
          <w:rFonts w:ascii="IBM Plex Sans" w:hAnsi="IBM Plex Sans"/>
          <w:color w:val="01011B"/>
          <w:sz w:val="21"/>
          <w:szCs w:val="21"/>
        </w:rPr>
        <w:t>Conviction tone: document repeatedly cites “no red flags,” “high visibility,” and “conservative base case,” reflecting strong deal-team confidence backed by cross-functional diligence schedules.</w:t>
      </w:r>
    </w:p>
    <w:p w14:paraId="460655E6" w14:textId="77777777" w:rsidR="003535BD" w:rsidRPr="003535BD" w:rsidRDefault="003535BD" w:rsidP="003535BD">
      <w:r w:rsidRPr="003535BD">
        <w:t>Growth Initiatives</w:t>
      </w:r>
    </w:p>
    <w:p w14:paraId="7C1A457F" w14:textId="77777777" w:rsidR="003535BD" w:rsidRPr="003535BD" w:rsidRDefault="003535BD" w:rsidP="003535BD">
      <w:pPr>
        <w:numPr>
          <w:ilvl w:val="0"/>
          <w:numId w:val="9"/>
        </w:numPr>
      </w:pPr>
      <w:r w:rsidRPr="003535BD">
        <w:t>Stepped, vessel-led expansion (+8 contracted/assumed, with talk track of “long-term potential for +50”) anchored by booking-curve evidence; language signals high conviction—“significant whitespace,” “already contracted,” “no operational constraints.”</w:t>
      </w:r>
    </w:p>
    <w:p w14:paraId="16E91D63" w14:textId="77777777" w:rsidR="003535BD" w:rsidRPr="003535BD" w:rsidRDefault="003535BD" w:rsidP="003535BD">
      <w:pPr>
        <w:numPr>
          <w:ilvl w:val="0"/>
          <w:numId w:val="9"/>
        </w:numPr>
      </w:pPr>
      <w:r w:rsidRPr="003535BD">
        <w:lastRenderedPageBreak/>
        <w:t>Direct-to-consumer mix target lifted from ~10 % to 15 % in Base Case and framed as “platform” for 30 %+ in Alpha case; references Viking benchmark (~50 %) to validate upside.</w:t>
      </w:r>
    </w:p>
    <w:p w14:paraId="0819295F" w14:textId="77777777" w:rsidR="003535BD" w:rsidRPr="003535BD" w:rsidRDefault="003535BD" w:rsidP="003535BD">
      <w:pPr>
        <w:numPr>
          <w:ilvl w:val="0"/>
          <w:numId w:val="9"/>
        </w:numPr>
      </w:pPr>
      <w:r w:rsidRPr="003535BD">
        <w:t>Layered alpha levers—luxury co-branded products with LVMH, cross-sell into “exotic” rivers, and tuck-in M&amp;A (e.g., Aqua Expeditions) positioned as optional but incremental.</w:t>
      </w:r>
    </w:p>
    <w:p w14:paraId="4854E326" w14:textId="77777777" w:rsidR="003535BD" w:rsidRPr="003535BD" w:rsidRDefault="003535BD" w:rsidP="003535BD">
      <w:pPr>
        <w:numPr>
          <w:ilvl w:val="0"/>
          <w:numId w:val="9"/>
        </w:numPr>
      </w:pPr>
      <w:r w:rsidRPr="003535BD">
        <w:t>Exit multiple expansion narrative relies on strategic buyers valuing larger fleet &amp; higher direct share; presented as credible given scarcity of scaled, premium river assets.</w:t>
      </w:r>
    </w:p>
    <w:p w14:paraId="7B9B0723" w14:textId="77777777" w:rsidR="003535BD" w:rsidRPr="003535BD" w:rsidRDefault="003535BD" w:rsidP="003535BD">
      <w:r w:rsidRPr="003535BD">
        <w:t>Operational Improvements</w:t>
      </w:r>
    </w:p>
    <w:p w14:paraId="056DBDDC" w14:textId="77777777" w:rsidR="003535BD" w:rsidRPr="003535BD" w:rsidRDefault="003535BD" w:rsidP="003535BD">
      <w:pPr>
        <w:numPr>
          <w:ilvl w:val="0"/>
          <w:numId w:val="10"/>
        </w:numPr>
      </w:pPr>
      <w:r w:rsidRPr="003535BD">
        <w:t>Revenue management overhaul (pricing, discount discipline, upsell attach rates) called “immature today” with third-party benchmarks citing ~4 % lift; plan deemed low-risk, high ROI.</w:t>
      </w:r>
    </w:p>
    <w:p w14:paraId="5E194303" w14:textId="77777777" w:rsidR="003535BD" w:rsidRPr="003535BD" w:rsidRDefault="003535BD" w:rsidP="003535BD">
      <w:pPr>
        <w:numPr>
          <w:ilvl w:val="0"/>
          <w:numId w:val="10"/>
        </w:numPr>
      </w:pPr>
      <w:r w:rsidRPr="003535BD">
        <w:t>Marketing spend reallocated to top-funnel brand building (rise to 7.5 % of revenue) plus call-center scale-up; cost framed as “run-rate $24 M by ’28” with explicit pay-back via lower commissions.</w:t>
      </w:r>
    </w:p>
    <w:p w14:paraId="0A2CBCBC" w14:textId="77777777" w:rsidR="003535BD" w:rsidRPr="003535BD" w:rsidRDefault="003535BD" w:rsidP="003535BD">
      <w:pPr>
        <w:numPr>
          <w:ilvl w:val="0"/>
          <w:numId w:val="10"/>
        </w:numPr>
      </w:pPr>
      <w:r w:rsidRPr="003535BD">
        <w:t>Fixed/variable cost leverage via higher occupancy (76 % → 88 %) and modest shoulder-season deployment; breakeven occupancy ~30 % used to emphasize margin safety.</w:t>
      </w:r>
    </w:p>
    <w:p w14:paraId="71512853" w14:textId="77777777" w:rsidR="003535BD" w:rsidRPr="003535BD" w:rsidRDefault="003535BD" w:rsidP="003535BD">
      <w:pPr>
        <w:numPr>
          <w:ilvl w:val="0"/>
          <w:numId w:val="10"/>
        </w:numPr>
      </w:pPr>
      <w:r w:rsidRPr="003535BD">
        <w:t>Outsourced ship-operations partners (SeaChefs, Rivertech) reviewed—no red flags, scalable; suggests limited capex drag.</w:t>
      </w:r>
    </w:p>
    <w:p w14:paraId="5184E28D" w14:textId="77777777" w:rsidR="003535BD" w:rsidRPr="003535BD" w:rsidRDefault="003535BD" w:rsidP="003535BD">
      <w:r w:rsidRPr="003535BD">
        <w:t>Strategic Projects</w:t>
      </w:r>
    </w:p>
    <w:p w14:paraId="71F4125D" w14:textId="77777777" w:rsidR="003535BD" w:rsidRPr="003535BD" w:rsidRDefault="003535BD" w:rsidP="003535BD">
      <w:pPr>
        <w:numPr>
          <w:ilvl w:val="0"/>
          <w:numId w:val="11"/>
        </w:numPr>
      </w:pPr>
      <w:r w:rsidRPr="003535BD">
        <w:t>Digital: new booking engine (Dec ’23) and data/CRM build called out; PwC/McKinsey enlisted—signals process discipline.</w:t>
      </w:r>
    </w:p>
    <w:p w14:paraId="3B715D24" w14:textId="77777777" w:rsidR="003535BD" w:rsidRPr="003535BD" w:rsidRDefault="003535BD" w:rsidP="003535BD">
      <w:pPr>
        <w:numPr>
          <w:ilvl w:val="0"/>
          <w:numId w:val="11"/>
        </w:numPr>
      </w:pPr>
      <w:r w:rsidRPr="003535BD">
        <w:t>Brand modernization: formal positioning, personas, refreshed creative (LCAT MADE partnership) to unlock low awareness gap (55 % vs Viking 91 %).</w:t>
      </w:r>
    </w:p>
    <w:p w14:paraId="070F0287" w14:textId="77777777" w:rsidR="003535BD" w:rsidRPr="003535BD" w:rsidRDefault="003535BD" w:rsidP="003535BD">
      <w:pPr>
        <w:numPr>
          <w:ilvl w:val="0"/>
          <w:numId w:val="11"/>
        </w:numPr>
      </w:pPr>
      <w:r w:rsidRPr="003535BD">
        <w:t>Luxury partnerships: cited Louis Vuitton vessel / curated shopping itineraries to elevate price point and media buzz—presented as credibility enhancer for premium multiple.</w:t>
      </w:r>
    </w:p>
    <w:p w14:paraId="65E09D5A" w14:textId="77777777" w:rsidR="003535BD" w:rsidRPr="003535BD" w:rsidRDefault="003535BD" w:rsidP="003535BD">
      <w:r w:rsidRPr="003535BD">
        <w:t>Exit Narrative</w:t>
      </w:r>
    </w:p>
    <w:p w14:paraId="75017B41" w14:textId="77777777" w:rsidR="003535BD" w:rsidRPr="003535BD" w:rsidRDefault="003535BD" w:rsidP="003535BD">
      <w:pPr>
        <w:numPr>
          <w:ilvl w:val="0"/>
          <w:numId w:val="12"/>
        </w:numPr>
      </w:pPr>
      <w:r w:rsidRPr="003535BD">
        <w:lastRenderedPageBreak/>
        <w:t>Target 2028 exit at 9.5x NTM EBITDA (entry 9.1x) with story of “scaled, direct, premium river pure-play” amid limited comparables; uses Viking &amp; prior Certares-Ama deal as comp anchors.</w:t>
      </w:r>
    </w:p>
    <w:p w14:paraId="54E26C97" w14:textId="77777777" w:rsidR="003535BD" w:rsidRPr="003535BD" w:rsidRDefault="003535BD" w:rsidP="003535BD">
      <w:pPr>
        <w:numPr>
          <w:ilvl w:val="0"/>
          <w:numId w:val="12"/>
        </w:numPr>
      </w:pPr>
      <w:r w:rsidRPr="003535BD">
        <w:t>Early dividend recap (12 mo) plus optional interim distributions &gt;2.0x net leverage signal FCF confidence and partial de-risk before exit.</w:t>
      </w:r>
    </w:p>
    <w:p w14:paraId="0D6CBFFD" w14:textId="77777777" w:rsidR="003535BD" w:rsidRPr="003535BD" w:rsidRDefault="003535BD" w:rsidP="003535BD">
      <w:pPr>
        <w:numPr>
          <w:ilvl w:val="0"/>
          <w:numId w:val="12"/>
        </w:numPr>
      </w:pPr>
      <w:r w:rsidRPr="003535BD">
        <w:t>Buyer universe: strategics (ocean lines, luxury conglomerates), sponsor roll-ups, and IPO optionality once direct mix matures; scarcity value repeated to bolster multiple expansion assumption.</w:t>
      </w:r>
    </w:p>
    <w:p w14:paraId="189AB5D1" w14:textId="77777777" w:rsidR="003535BD" w:rsidRDefault="003535BD" w:rsidP="003535BD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30" w:lineRule="atLeast"/>
        <w:rPr>
          <w:rFonts w:ascii="IBM Plex Sans" w:hAnsi="IBM Plex Sans"/>
          <w:color w:val="01011B"/>
          <w:sz w:val="21"/>
          <w:szCs w:val="21"/>
        </w:rPr>
      </w:pPr>
      <w:r>
        <w:rPr>
          <w:rStyle w:val="Strong"/>
          <w:rFonts w:ascii="IBM Plex Sans" w:eastAsiaTheme="majorEastAsia" w:hAnsi="IBM Plex Sans"/>
          <w:b w:val="0"/>
          <w:bCs w:val="0"/>
          <w:color w:val="01011B"/>
          <w:sz w:val="21"/>
          <w:szCs w:val="21"/>
        </w:rPr>
        <w:t>RISK MANAGEMENT GOVERNANCE</w:t>
      </w:r>
    </w:p>
    <w:p w14:paraId="023DC967" w14:textId="77777777" w:rsidR="003535BD" w:rsidRDefault="003535BD" w:rsidP="003535BD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30" w:lineRule="atLeast"/>
        <w:rPr>
          <w:rFonts w:ascii="IBM Plex Sans" w:hAnsi="IBM Plex Sans"/>
          <w:color w:val="01011B"/>
          <w:sz w:val="21"/>
          <w:szCs w:val="21"/>
        </w:rPr>
      </w:pPr>
      <w:r>
        <w:rPr>
          <w:rStyle w:val="Strong"/>
          <w:rFonts w:ascii="IBM Plex Sans" w:eastAsiaTheme="majorEastAsia" w:hAnsi="IBM Plex Sans"/>
          <w:b w:val="0"/>
          <w:bCs w:val="0"/>
          <w:color w:val="01011B"/>
          <w:sz w:val="21"/>
          <w:szCs w:val="21"/>
        </w:rPr>
        <w:t>Leadership &amp; Team</w:t>
      </w:r>
      <w:r>
        <w:rPr>
          <w:rFonts w:ascii="IBM Plex Sans" w:hAnsi="IBM Plex Sans"/>
          <w:color w:val="01011B"/>
          <w:sz w:val="21"/>
          <w:szCs w:val="21"/>
        </w:rPr>
        <w:br/>
        <w:t>• Founder-led core (Rudi Schreiner &amp; Kristin Karst) with 20-plus years each in same sector; presented as “pioneers,” signalling deep domain tacit knowledge and high owner-operator alignment.</w:t>
      </w:r>
      <w:r>
        <w:rPr>
          <w:rFonts w:ascii="IBM Plex Sans" w:hAnsi="IBM Plex Sans"/>
          <w:color w:val="01011B"/>
          <w:sz w:val="21"/>
          <w:szCs w:val="21"/>
        </w:rPr>
        <w:br/>
        <w:t>• C-suite tenure averages 25 years in category (page 5), conveying stability; however, succession depth beyond founders is not articulated – exposure if rollover founders reduce day-to-day engagement.</w:t>
      </w:r>
      <w:r>
        <w:rPr>
          <w:rFonts w:ascii="IBM Plex Sans" w:hAnsi="IBM Plex Sans"/>
          <w:color w:val="01011B"/>
          <w:sz w:val="21"/>
          <w:szCs w:val="21"/>
        </w:rPr>
        <w:br/>
        <w:t>• Key operating functions (finance, ops, sales, marketing) each anchored by long-serving execs, but governance structure, independent directors, or formal risk committee are Not Specified.</w:t>
      </w:r>
    </w:p>
    <w:p w14:paraId="176429EB" w14:textId="77777777" w:rsidR="003535BD" w:rsidRDefault="003535BD" w:rsidP="003535BD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30" w:lineRule="atLeast"/>
        <w:rPr>
          <w:rFonts w:ascii="IBM Plex Sans" w:hAnsi="IBM Plex Sans"/>
          <w:color w:val="01011B"/>
          <w:sz w:val="21"/>
          <w:szCs w:val="21"/>
        </w:rPr>
      </w:pPr>
      <w:r>
        <w:rPr>
          <w:rStyle w:val="Strong"/>
          <w:rFonts w:ascii="IBM Plex Sans" w:eastAsiaTheme="majorEastAsia" w:hAnsi="IBM Plex Sans"/>
          <w:b w:val="0"/>
          <w:bCs w:val="0"/>
          <w:color w:val="01011B"/>
          <w:sz w:val="21"/>
          <w:szCs w:val="21"/>
        </w:rPr>
        <w:t>Execution Track Record</w:t>
      </w:r>
      <w:r>
        <w:rPr>
          <w:rFonts w:ascii="IBM Plex Sans" w:hAnsi="IBM Plex Sans"/>
          <w:color w:val="01011B"/>
          <w:sz w:val="21"/>
          <w:szCs w:val="21"/>
        </w:rPr>
        <w:br/>
        <w:t>• Document emphasises consistent pre-COVID growth, swift post-shock rebounds, and vessel-level 40-50 % EBITDA margins (pages 20-22) – used as proof of disciplined operations and cost control.</w:t>
      </w:r>
      <w:r>
        <w:rPr>
          <w:rFonts w:ascii="IBM Plex Sans" w:hAnsi="IBM Plex Sans"/>
          <w:color w:val="01011B"/>
          <w:sz w:val="21"/>
          <w:szCs w:val="21"/>
        </w:rPr>
        <w:br/>
        <w:t>• Cites immediate capacity and pricing actions after 2015-16 terror events and COVID to protect cash-flow (page 26) – shows agile risk response; conviction conveyed through detailed booking-curve data.</w:t>
      </w:r>
      <w:r>
        <w:rPr>
          <w:rFonts w:ascii="IBM Plex Sans" w:hAnsi="IBM Plex Sans"/>
          <w:color w:val="01011B"/>
          <w:sz w:val="21"/>
          <w:szCs w:val="21"/>
        </w:rPr>
        <w:br/>
        <w:t>• Outsourced labour/technical partners (SeaChefs, Rivertech) have 17-year relationships and scalable capacity (page 41) – framed as risk-mitigating but vendor concentration acknowledged.</w:t>
      </w:r>
    </w:p>
    <w:p w14:paraId="78A8EA5F" w14:textId="77777777" w:rsidR="003535BD" w:rsidRDefault="003535BD" w:rsidP="003535BD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30" w:lineRule="atLeast"/>
        <w:rPr>
          <w:rFonts w:ascii="IBM Plex Sans" w:hAnsi="IBM Plex Sans"/>
          <w:color w:val="01011B"/>
          <w:sz w:val="21"/>
          <w:szCs w:val="21"/>
        </w:rPr>
      </w:pPr>
      <w:r>
        <w:rPr>
          <w:rStyle w:val="Strong"/>
          <w:rFonts w:ascii="IBM Plex Sans" w:eastAsiaTheme="majorEastAsia" w:hAnsi="IBM Plex Sans"/>
          <w:b w:val="0"/>
          <w:bCs w:val="0"/>
          <w:color w:val="01011B"/>
          <w:sz w:val="21"/>
          <w:szCs w:val="21"/>
        </w:rPr>
        <w:t>External Threats</w:t>
      </w:r>
      <w:r>
        <w:rPr>
          <w:rFonts w:ascii="IBM Plex Sans" w:hAnsi="IBM Plex Sans"/>
          <w:color w:val="01011B"/>
          <w:sz w:val="21"/>
          <w:szCs w:val="21"/>
        </w:rPr>
        <w:br/>
        <w:t>• Geopolitical shocks (Middle-East conflict, terror events) and macro cycles highlighted; narrative stresses category resilience and prepaid booking cash model as buffers.</w:t>
      </w:r>
      <w:r>
        <w:rPr>
          <w:rFonts w:ascii="IBM Plex Sans" w:hAnsi="IBM Plex Sans"/>
          <w:color w:val="01011B"/>
          <w:sz w:val="21"/>
          <w:szCs w:val="21"/>
        </w:rPr>
        <w:br/>
        <w:t>• Environmental constraints (high/low water levels, over-tourism, dock saturation) acknowledged but rated “minor-to-manageable” with itinerary redesign (page 25); limited quantified contingency planning.</w:t>
      </w:r>
      <w:r>
        <w:rPr>
          <w:rFonts w:ascii="IBM Plex Sans" w:hAnsi="IBM Plex Sans"/>
          <w:color w:val="01011B"/>
          <w:sz w:val="21"/>
          <w:szCs w:val="21"/>
        </w:rPr>
        <w:br/>
        <w:t>• Regulatory review limited to HSR and possible Namibian filing; no material red flags (page 51).</w:t>
      </w:r>
    </w:p>
    <w:p w14:paraId="033432BB" w14:textId="77777777" w:rsidR="003535BD" w:rsidRDefault="003535BD" w:rsidP="003535BD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30" w:lineRule="atLeast"/>
        <w:rPr>
          <w:rFonts w:ascii="IBM Plex Sans" w:hAnsi="IBM Plex Sans"/>
          <w:color w:val="01011B"/>
          <w:sz w:val="21"/>
          <w:szCs w:val="21"/>
        </w:rPr>
      </w:pPr>
      <w:r>
        <w:rPr>
          <w:rStyle w:val="Strong"/>
          <w:rFonts w:ascii="IBM Plex Sans" w:eastAsiaTheme="majorEastAsia" w:hAnsi="IBM Plex Sans"/>
          <w:b w:val="0"/>
          <w:bCs w:val="0"/>
          <w:color w:val="01011B"/>
          <w:sz w:val="21"/>
          <w:szCs w:val="21"/>
        </w:rPr>
        <w:lastRenderedPageBreak/>
        <w:t>Potential Disruptors</w:t>
      </w:r>
      <w:r>
        <w:rPr>
          <w:rFonts w:ascii="IBM Plex Sans" w:hAnsi="IBM Plex Sans"/>
          <w:color w:val="01011B"/>
          <w:sz w:val="21"/>
          <w:szCs w:val="21"/>
        </w:rPr>
        <w:br/>
        <w:t>• Competitive DTC shift led by Viking: Ama’s current 10 % direct mix flagged as capability gap yet opportunity; plan requires heavy marketing tech investment – recognised execution risk.</w:t>
      </w:r>
      <w:r>
        <w:rPr>
          <w:rFonts w:ascii="IBM Plex Sans" w:hAnsi="IBM Plex Sans"/>
          <w:color w:val="01011B"/>
          <w:sz w:val="21"/>
          <w:szCs w:val="21"/>
        </w:rPr>
        <w:br/>
        <w:t>• Technology-driven revenue-management sophistication currently “nascent” (page 44); management openness to upgrade but success dependent on new talent/process adoption.</w:t>
      </w:r>
      <w:r>
        <w:rPr>
          <w:rFonts w:ascii="IBM Plex Sans" w:hAnsi="IBM Plex Sans"/>
          <w:color w:val="01011B"/>
          <w:sz w:val="21"/>
          <w:szCs w:val="21"/>
        </w:rPr>
        <w:br/>
        <w:t>• Alternative experiential travel (premium small-ship, luxury rail) noted only tangentially; substitute risk treatment Not Specified beyond branding moats.</w:t>
      </w:r>
    </w:p>
    <w:p w14:paraId="566F50C1" w14:textId="77777777" w:rsidR="00A96116" w:rsidRDefault="00A96116"/>
    <w:sectPr w:rsidR="00A96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12624"/>
    <w:multiLevelType w:val="multilevel"/>
    <w:tmpl w:val="BD08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B2654"/>
    <w:multiLevelType w:val="multilevel"/>
    <w:tmpl w:val="1B50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8698E"/>
    <w:multiLevelType w:val="multilevel"/>
    <w:tmpl w:val="5C52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C0517"/>
    <w:multiLevelType w:val="multilevel"/>
    <w:tmpl w:val="F0BA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1C001F"/>
    <w:multiLevelType w:val="multilevel"/>
    <w:tmpl w:val="8440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EB1B65"/>
    <w:multiLevelType w:val="multilevel"/>
    <w:tmpl w:val="359A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F15F5C"/>
    <w:multiLevelType w:val="multilevel"/>
    <w:tmpl w:val="2C56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3A1991"/>
    <w:multiLevelType w:val="multilevel"/>
    <w:tmpl w:val="E90C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363E73"/>
    <w:multiLevelType w:val="multilevel"/>
    <w:tmpl w:val="F2DC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2224A9"/>
    <w:multiLevelType w:val="multilevel"/>
    <w:tmpl w:val="6106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E44B38"/>
    <w:multiLevelType w:val="multilevel"/>
    <w:tmpl w:val="E6C8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215ED3"/>
    <w:multiLevelType w:val="multilevel"/>
    <w:tmpl w:val="FD9C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1588010">
    <w:abstractNumId w:val="7"/>
  </w:num>
  <w:num w:numId="2" w16cid:durableId="1809859137">
    <w:abstractNumId w:val="5"/>
  </w:num>
  <w:num w:numId="3" w16cid:durableId="1475871406">
    <w:abstractNumId w:val="8"/>
  </w:num>
  <w:num w:numId="4" w16cid:durableId="603074830">
    <w:abstractNumId w:val="11"/>
  </w:num>
  <w:num w:numId="5" w16cid:durableId="1456368662">
    <w:abstractNumId w:val="4"/>
  </w:num>
  <w:num w:numId="6" w16cid:durableId="2055613449">
    <w:abstractNumId w:val="6"/>
  </w:num>
  <w:num w:numId="7" w16cid:durableId="1170825953">
    <w:abstractNumId w:val="3"/>
  </w:num>
  <w:num w:numId="8" w16cid:durableId="2020547758">
    <w:abstractNumId w:val="1"/>
  </w:num>
  <w:num w:numId="9" w16cid:durableId="611397521">
    <w:abstractNumId w:val="0"/>
  </w:num>
  <w:num w:numId="10" w16cid:durableId="1175613844">
    <w:abstractNumId w:val="9"/>
  </w:num>
  <w:num w:numId="11" w16cid:durableId="1784377942">
    <w:abstractNumId w:val="10"/>
  </w:num>
  <w:num w:numId="12" w16cid:durableId="618679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930"/>
    <w:rsid w:val="003535BD"/>
    <w:rsid w:val="006F233E"/>
    <w:rsid w:val="00796930"/>
    <w:rsid w:val="00A4208C"/>
    <w:rsid w:val="00A96116"/>
    <w:rsid w:val="00FF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547CC"/>
  <w15:chartTrackingRefBased/>
  <w15:docId w15:val="{C1661F72-9643-4901-8059-C8F9ADEF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9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9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9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9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9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3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535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1783</Words>
  <Characters>10165</Characters>
  <Application>Microsoft Office Word</Application>
  <DocSecurity>0</DocSecurity>
  <Lines>84</Lines>
  <Paragraphs>23</Paragraphs>
  <ScaleCrop>false</ScaleCrop>
  <Company/>
  <LinksUpToDate>false</LinksUpToDate>
  <CharactersWithSpaces>11925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Beya Pan</dc:creator>
  <cp:keywords/>
  <dc:description/>
  <cp:lastModifiedBy>Beya Pan</cp:lastModifiedBy>
  <cp:revision>3</cp:revision>
  <dcterms:created xsi:type="dcterms:W3CDTF">2025-06-30T13:23:00Z</dcterms:created>
  <dcterms:modified xsi:type="dcterms:W3CDTF">2025-06-30T13:23:00Z</dcterms:modified>
</cp:coreProperties>
</file>