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0" w:name="_Toc441926723"/>
      <w:bookmarkStart w:id="1"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bookmarkEnd w:id="1"/>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2" w:name="_Toc441926724"/>
      <w:bookmarkStart w:id="3"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bookmarkEnd w:id="3"/>
      <w:r w:rsidR="008D3507">
        <w:fldChar w:fldCharType="begin"/>
      </w:r>
      <w:r w:rsidR="00141DCE">
        <w:instrText xml:space="preserve"> TOC \o "1-1" \h \z \u </w:instrText>
      </w:r>
      <w:r w:rsidR="008D3507">
        <w:fldChar w:fldCharType="separate"/>
      </w:r>
    </w:p>
    <w:p w:rsidR="0070299B" w:rsidRDefault="005B0729">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5B0729">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4" w:name="_Toc441926725"/>
      <w:bookmarkStart w:id="5" w:name="_Toc445731914"/>
      <w:r w:rsidRPr="00CC1546">
        <w:rPr>
          <w:rFonts w:ascii="黑体" w:eastAsia="黑体" w:hAnsi="黑体" w:hint="eastAsia"/>
          <w:sz w:val="36"/>
          <w:szCs w:val="36"/>
        </w:rPr>
        <w:lastRenderedPageBreak/>
        <w:t>释义</w:t>
      </w:r>
      <w:bookmarkEnd w:id="4"/>
      <w:bookmarkEnd w:id="5"/>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6" w:name="_Toc445731915"/>
      <w:r w:rsidRPr="00CC1546">
        <w:rPr>
          <w:rFonts w:ascii="黑体" w:eastAsia="黑体" w:hAnsi="黑体" w:hint="eastAsia"/>
          <w:b w:val="0"/>
          <w:sz w:val="36"/>
          <w:szCs w:val="36"/>
        </w:rPr>
        <w:lastRenderedPageBreak/>
        <w:t>第一节  声明与提示</w:t>
      </w:r>
      <w:bookmarkEnd w:id="6"/>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7"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7"/>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8"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8"/>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9"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9"/>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经正式进入到国家视野当中，以后会快速推进。”另据E20研究院统计，“十二五”末期VOCs市场规模将超过815亿元，而“十三五”期间，其市场规模将超过1400亿元， 1400亿市场聚集</w:t>
            </w:r>
            <w:r w:rsidRPr="00451B61">
              <w:rPr>
                <w:rFonts w:asciiTheme="minorEastAsia" w:eastAsiaTheme="minorEastAsia" w:hAnsiTheme="minorEastAsia" w:hint="eastAsia"/>
                <w:szCs w:val="21"/>
              </w:rPr>
              <w:lastRenderedPageBreak/>
              <w:t>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lastRenderedPageBreak/>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0"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0"/>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1" w:name="_Toc445731920"/>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1"/>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lastRenderedPageBreak/>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2"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2"/>
    </w:p>
    <w:p w:rsidR="00E46551" w:rsidRDefault="00E46551" w:rsidP="003619C7">
      <w:pPr>
        <w:ind w:right="420"/>
        <w:rPr>
          <w:b/>
          <w:color w:val="000000" w:themeColor="text1"/>
        </w:rPr>
      </w:pPr>
      <w:bookmarkStart w:id="13" w:name="_GoBack"/>
      <w:bookmarkEnd w:id="13"/>
    </w:p>
    <w:p w:rsidR="00E75A20" w:rsidRDefault="00E75A20" w:rsidP="0016696D">
      <w:pPr>
        <w:tabs>
          <w:tab w:val="left" w:pos="5140"/>
        </w:tabs>
        <w:rPr>
          <w:rFonts w:asciiTheme="minorEastAsia" w:eastAsiaTheme="minorEastAsia" w:hAnsiTheme="minorEastAsia"/>
          <w:b/>
          <w:color w:val="000000" w:themeColor="text1"/>
          <w:szCs w:val="21"/>
        </w:rPr>
      </w:pP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5B0729"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5B0729"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w:t>
      </w:r>
      <w:r w:rsidRPr="00B601C5">
        <w:rPr>
          <w:rFonts w:ascii="Arial" w:hAnsi="宋体" w:cs="Arial" w:hint="eastAsia"/>
          <w:szCs w:val="21"/>
        </w:rPr>
        <w:lastRenderedPageBreak/>
        <w:t>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lastRenderedPageBreak/>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w:t>
      </w:r>
      <w:r w:rsidRPr="00B601C5">
        <w:rPr>
          <w:rFonts w:ascii="Arial" w:hAnsi="宋体" w:cs="Arial" w:hint="eastAsia"/>
          <w:szCs w:val="21"/>
        </w:rPr>
        <w:lastRenderedPageBreak/>
        <w:t>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lastRenderedPageBreak/>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w:t>
      </w:r>
      <w:r w:rsidRPr="00B601C5">
        <w:rPr>
          <w:rFonts w:ascii="Arial" w:hAnsi="宋体" w:cs="Arial" w:hint="eastAsia"/>
          <w:szCs w:val="21"/>
        </w:rPr>
        <w:lastRenderedPageBreak/>
        <w:t>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w:t>
      </w:r>
      <w:r w:rsidRPr="00B601C5">
        <w:rPr>
          <w:rFonts w:ascii="Arial" w:hAnsi="宋体" w:cs="Arial" w:hint="eastAsia"/>
          <w:szCs w:val="21"/>
        </w:rPr>
        <w:lastRenderedPageBreak/>
        <w:t>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w:t>
      </w:r>
      <w:r w:rsidRPr="00B601C5">
        <w:rPr>
          <w:rFonts w:ascii="Arial" w:hAnsi="宋体" w:cs="Arial" w:hint="eastAsia"/>
          <w:szCs w:val="21"/>
        </w:rPr>
        <w:lastRenderedPageBreak/>
        <w:t>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w:t>
      </w:r>
      <w:r w:rsidRPr="00B601C5">
        <w:rPr>
          <w:rFonts w:ascii="宋体" w:eastAsia="宋体" w:hAnsi="宋体" w:cs="Arial" w:hint="eastAsia"/>
          <w:sz w:val="21"/>
          <w:szCs w:val="21"/>
        </w:rPr>
        <w:lastRenderedPageBreak/>
        <w:t>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w:t>
      </w:r>
      <w:r w:rsidRPr="00B601C5">
        <w:rPr>
          <w:rFonts w:ascii="Arial" w:hAnsi="宋体" w:cs="Arial" w:hint="eastAsia"/>
          <w:szCs w:val="21"/>
        </w:rPr>
        <w:lastRenderedPageBreak/>
        <w:t>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w:t>
      </w:r>
      <w:r w:rsidRPr="00B601C5">
        <w:rPr>
          <w:rFonts w:ascii="Arial" w:hAnsi="宋体" w:cs="Arial" w:hint="eastAsia"/>
          <w:szCs w:val="21"/>
        </w:rPr>
        <w:lastRenderedPageBreak/>
        <w:t>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w:t>
      </w:r>
      <w:r w:rsidRPr="00B601C5">
        <w:rPr>
          <w:rFonts w:ascii="Arial" w:hAnsi="宋体" w:cs="Arial" w:hint="eastAsia"/>
          <w:szCs w:val="21"/>
        </w:rPr>
        <w:lastRenderedPageBreak/>
        <w:t>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w:t>
      </w:r>
      <w:r w:rsidRPr="00B601C5">
        <w:rPr>
          <w:rFonts w:ascii="Arial" w:hAnsi="宋体" w:cs="Arial" w:hint="eastAsia"/>
          <w:szCs w:val="21"/>
        </w:rPr>
        <w:lastRenderedPageBreak/>
        <w:t>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lastRenderedPageBreak/>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w:t>
      </w:r>
      <w:r w:rsidRPr="00B601C5">
        <w:rPr>
          <w:rFonts w:ascii="Arial" w:hAnsi="宋体" w:cs="Arial" w:hint="eastAsia"/>
          <w:szCs w:val="21"/>
        </w:rPr>
        <w:lastRenderedPageBreak/>
        <w:t>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w:t>
      </w:r>
      <w:r w:rsidRPr="00B601C5">
        <w:rPr>
          <w:rFonts w:ascii="Arial" w:hAnsi="宋体" w:cs="Arial" w:hint="eastAsia"/>
          <w:szCs w:val="21"/>
        </w:rPr>
        <w:lastRenderedPageBreak/>
        <w:t>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w:t>
      </w:r>
      <w:r w:rsidRPr="00B601C5">
        <w:rPr>
          <w:rFonts w:ascii="Arial" w:hAnsi="宋体" w:cs="Arial" w:hint="eastAsia"/>
          <w:szCs w:val="21"/>
        </w:rPr>
        <w:lastRenderedPageBreak/>
        <w:t>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w:t>
      </w:r>
      <w:r w:rsidRPr="00B601C5">
        <w:rPr>
          <w:rFonts w:ascii="Arial" w:hAnsi="宋体" w:cs="Arial" w:hint="eastAsia"/>
          <w:szCs w:val="21"/>
        </w:rPr>
        <w:lastRenderedPageBreak/>
        <w:t>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w:t>
      </w:r>
      <w:r w:rsidRPr="00B601C5">
        <w:rPr>
          <w:rFonts w:ascii="Arial" w:hAnsi="宋体" w:cs="Arial" w:hint="eastAsia"/>
          <w:szCs w:val="21"/>
        </w:rPr>
        <w:lastRenderedPageBreak/>
        <w:t>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lastRenderedPageBreak/>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lastRenderedPageBreak/>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lastRenderedPageBreak/>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lastRenderedPageBreak/>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lastRenderedPageBreak/>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lastRenderedPageBreak/>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lastRenderedPageBreak/>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lastRenderedPageBreak/>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lastRenderedPageBreak/>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lastRenderedPageBreak/>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lastRenderedPageBreak/>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lastRenderedPageBreak/>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29" w:rsidRDefault="005B072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5B0729" w:rsidRPr="005B0729">
          <w:rPr>
            <w:noProof/>
            <w:lang w:val="zh-CN"/>
          </w:rPr>
          <w:t>23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5B0729" w:rsidRPr="005B0729">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29" w:rsidRDefault="005B072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29" w:rsidRDefault="005B072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729" w:rsidRDefault="005B0729">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0729"/>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501"/>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6385"/>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3.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B192D2EF-AE5E-4B7C-B99E-8EE75C2897BC}">
  <ds:schemaRefs>
    <ds:schemaRef ds:uri="http://wwww.hallomagic.com/xbrl/info"/>
  </ds:schemaRefs>
</ds:datastoreItem>
</file>

<file path=customXml/itemProps3.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4.xml><?xml version="1.0" encoding="utf-8"?>
<ds:datastoreItem xmlns:ds="http://schemas.openxmlformats.org/officeDocument/2006/customXml" ds:itemID="{58831D34-14A1-4AAA-83DA-C44D2A17AD4E}">
  <ds:schemaRefs>
    <ds:schemaRef ds:uri="http://wwww.hallomagic.com/xbrl/mapping"/>
  </ds:schemaRefs>
</ds:datastoreItem>
</file>

<file path=customXml/itemProps5.xml><?xml version="1.0" encoding="utf-8"?>
<ds:datastoreItem xmlns:ds="http://schemas.openxmlformats.org/officeDocument/2006/customXml" ds:itemID="{A047357E-EF2D-48C3-8C15-26F713466AF1}">
  <ds:schemaRefs>
    <ds:schemaRef ds:uri="http://wwww.hallomagic.com/xbrl/rule"/>
  </ds:schemaRefs>
</ds:datastoreItem>
</file>

<file path=customXml/itemProps6.xml><?xml version="1.0" encoding="utf-8"?>
<ds:datastoreItem xmlns:ds="http://schemas.openxmlformats.org/officeDocument/2006/customXml" ds:itemID="{64D0B9FB-A62F-4AD6-A670-7C66395680C4}">
  <ds:schemaRefs>
    <ds:schemaRef ds:uri="http://wwww.hallomagic.com/xbrl/check"/>
  </ds:schemaRefs>
</ds:datastoreItem>
</file>

<file path=customXml/itemProps7.xml><?xml version="1.0" encoding="utf-8"?>
<ds:datastoreItem xmlns:ds="http://schemas.openxmlformats.org/officeDocument/2006/customXml" ds:itemID="{94011E9A-A1EE-413F-B356-832919D1CE22}">
  <ds:schemaRefs>
    <ds:schemaRef ds:uri="http://wwww.hallomagic.com/xbrl/template"/>
  </ds:schemaRefs>
</ds:datastoreItem>
</file>

<file path=customXml/itemProps8.xml><?xml version="1.0" encoding="utf-8"?>
<ds:datastoreItem xmlns:ds="http://schemas.openxmlformats.org/officeDocument/2006/customXml" ds:itemID="{25356BA8-46DB-4A56-9E06-3CFC8E72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6</TotalTime>
  <Pages>106</Pages>
  <Words>13915</Words>
  <Characters>79320</Characters>
  <Application>Microsoft Office Word</Application>
  <DocSecurity>0</DocSecurity>
  <Lines>661</Lines>
  <Paragraphs>186</Paragraphs>
  <ScaleCrop>false</ScaleCrop>
  <Company>Sky123.Org</Company>
  <LinksUpToDate>false</LinksUpToDate>
  <CharactersWithSpaces>93049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2016-03-17T07:27:00Z</dcterms:created>
  <dcterms:modified xsi:type="dcterms:W3CDTF">2016-03-17T07:32:00Z</dcterms:modified>
</cp:coreProperties>
</file>