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C7EC" w14:textId="77777777" w:rsidR="00CA03AA" w:rsidRDefault="00000000">
      <w:pPr>
        <w:spacing w:after="100" w:line="240" w:lineRule="auto"/>
      </w:pPr>
      <w:r>
        <w:rPr>
          <w:rFonts w:eastAsia="Calibri"/>
          <w:b/>
          <w:color w:val="0B2545"/>
          <w:sz w:val="30"/>
        </w:rPr>
        <w:t>Transforming Healthcare Policy Content into Computable Rules</w:t>
      </w:r>
    </w:p>
    <w:p w14:paraId="578ADE23" w14:textId="77777777" w:rsidR="00CA03AA" w:rsidRDefault="00000000">
      <w:pPr>
        <w:spacing w:before="120" w:after="20" w:line="240" w:lineRule="auto"/>
      </w:pPr>
      <w:r>
        <w:rPr>
          <w:rFonts w:eastAsia="Calibri"/>
          <w:b/>
          <w:color w:val="2E74B5"/>
          <w:sz w:val="25"/>
        </w:rPr>
        <w:t>Topic Concept</w:t>
      </w:r>
    </w:p>
    <w:p w14:paraId="0578DBB5" w14:textId="77777777" w:rsidR="00CA03AA" w:rsidRDefault="00000000">
      <w:pPr>
        <w:spacing w:after="64" w:line="250" w:lineRule="auto"/>
      </w:pPr>
      <w:r>
        <w:rPr>
          <w:rFonts w:eastAsia="Calibri"/>
          <w:sz w:val="20"/>
        </w:rPr>
        <w:t>Healthcare content management is the process of organizing, interpreting, updating, and applying documents such as billing and coding policies, clinical practice guidelines, payer-provider contracts, prior authorization requirements, and medical necessity rules. The central challenge is that these documents are usually written in natural language, while payer operations require structured rules that can be used in claims review, payment integrity, compliance, and reporting. For Cotiviti, this topic is directly relevant because the company supports healthcare payers with analytics, payment accuracy, quality, risk adjustment, and operational improvement.</w:t>
      </w:r>
    </w:p>
    <w:p w14:paraId="0891586B" w14:textId="77777777" w:rsidR="00CA03AA" w:rsidRDefault="00000000">
      <w:pPr>
        <w:spacing w:after="64" w:line="250" w:lineRule="auto"/>
      </w:pPr>
      <w:r>
        <w:rPr>
          <w:rFonts w:eastAsia="Calibri"/>
          <w:sz w:val="20"/>
        </w:rPr>
        <w:t>The most valuable direction is not simply storing policy documents. The opportunity is to convert policy content into searchable, traceable, and computable knowledge. For example, a written policy may state that a procedure is covered only when a diagnosis code is present, prior authorization was obtained, and documentation supports medical necessity. A policy intelligence system could extract those requirements and generate draft logic that an analyst can review before use.</w:t>
      </w:r>
    </w:p>
    <w:p w14:paraId="4AF9B40C" w14:textId="77777777" w:rsidR="00CA03AA" w:rsidRDefault="00000000">
      <w:pPr>
        <w:spacing w:before="120" w:after="20" w:line="240" w:lineRule="auto"/>
      </w:pPr>
      <w:r>
        <w:rPr>
          <w:rFonts w:eastAsia="Calibri"/>
          <w:b/>
          <w:color w:val="2E74B5"/>
          <w:sz w:val="25"/>
        </w:rPr>
        <w:t>Relevant Trends</w:t>
      </w:r>
    </w:p>
    <w:p w14:paraId="687D0C85" w14:textId="77777777" w:rsidR="00CA03AA" w:rsidRDefault="00000000">
      <w:pPr>
        <w:spacing w:after="64" w:line="250" w:lineRule="auto"/>
      </w:pPr>
      <w:r>
        <w:rPr>
          <w:rFonts w:eastAsia="Calibri"/>
          <w:sz w:val="20"/>
        </w:rPr>
        <w:t>First, healthcare coding and policy content are becoming more complex. The American Medical Association explains that the CPT code set is used by physicians, health systems, and payers to report medical services and procedures. The AMA also notes that CPT codes now describe algorithmic or AI-enabled services, showing that coding systems are adapting to new care technologies (American Medical Association, 2026). This increases the need for tools that can track new codes, policy changes, and operational implications.</w:t>
      </w:r>
    </w:p>
    <w:p w14:paraId="20563431" w14:textId="77777777" w:rsidR="00CA03AA" w:rsidRDefault="00000000">
      <w:pPr>
        <w:spacing w:after="64" w:line="250" w:lineRule="auto"/>
      </w:pPr>
      <w:r>
        <w:rPr>
          <w:rFonts w:eastAsia="Calibri"/>
          <w:sz w:val="20"/>
        </w:rPr>
        <w:t>Second, healthcare is moving toward computable knowledge. Clinical Quality Language, or CQL, is a standard used for electronic clinical quality measurement and clinical decision support. The eCQI Resource Center lists CQL v1.5.3 as the latest version in 2026, which shows that healthcare logic can be represented in a form that is readable by people and usable by software (eCQI Resource Center, 2026). Although payer policies are not always written directly in CQL, the same principle applies: narrative policy can be transformed into structured rules.</w:t>
      </w:r>
    </w:p>
    <w:p w14:paraId="261D0887" w14:textId="77777777" w:rsidR="00CA03AA" w:rsidRDefault="00000000">
      <w:pPr>
        <w:spacing w:after="64" w:line="250" w:lineRule="auto"/>
      </w:pPr>
      <w:r>
        <w:rPr>
          <w:rFonts w:eastAsia="Calibri"/>
          <w:sz w:val="20"/>
        </w:rPr>
        <w:t>Third, regulation is pushing payers toward more digital workflows. CMS finalized the Interoperability and Prior Authorization Final Rule, CMS-0057-F, with an effective date of April 8, 2024. The rule supports API-based exchange and improvements to prior authorization processes (Centers for Medicare &amp; Medicaid Services, 2024). If prior authorization and payer data exchange become more digital, the policy logic behind those decisions must also become easier to structure, explain, and audit.</w:t>
      </w:r>
    </w:p>
    <w:p w14:paraId="42DCFCE2" w14:textId="77777777" w:rsidR="00CA03AA" w:rsidRDefault="00000000">
      <w:pPr>
        <w:spacing w:before="120" w:after="20" w:line="240" w:lineRule="auto"/>
      </w:pPr>
      <w:r>
        <w:rPr>
          <w:rFonts w:eastAsia="Calibri"/>
          <w:b/>
          <w:color w:val="2E74B5"/>
          <w:sz w:val="25"/>
        </w:rPr>
        <w:t>Technical Developments</w:t>
      </w:r>
    </w:p>
    <w:p w14:paraId="32DE3BC6" w14:textId="77777777" w:rsidR="00CA03AA" w:rsidRDefault="00000000">
      <w:pPr>
        <w:spacing w:after="64" w:line="250" w:lineRule="auto"/>
      </w:pPr>
      <w:r>
        <w:rPr>
          <w:rFonts w:eastAsia="Calibri"/>
          <w:sz w:val="20"/>
        </w:rPr>
        <w:t>Recent research supports this direction. Deng et al. (2026) introduced CPGPrompt, a system that translates clinical practice guidelines into decision trees that large language models can execute. The study showed strong performance on broad referral decisions but weaker performance on detailed pathway selection, especially when guidelines involved negation or timing. This is important for Cotiviti because billing policies often include exceptions, dates of service, plan-specific conditions, and documentation requirements. The lesson is that AI can draft useful structure, but expert validation remains necessary.</w:t>
      </w:r>
    </w:p>
    <w:p w14:paraId="12A7F452" w14:textId="77777777" w:rsidR="00CA03AA" w:rsidRDefault="00000000">
      <w:pPr>
        <w:spacing w:after="64" w:line="250" w:lineRule="auto"/>
      </w:pPr>
      <w:r>
        <w:rPr>
          <w:rFonts w:eastAsia="Calibri"/>
          <w:sz w:val="20"/>
        </w:rPr>
        <w:t>Other research points to the same conclusion. Riquelme, Costa, and Martinez (2025) found that large language models can assist with mapping healthcare data into HL7 FHIR formats, but they may also produce unsupported details. Kastroulis, Bonfini, and Litsas (2022) showed that computable healthcare logic, such as CQL, can be executed at large scale. Together, these developments suggest a practical path: use AI to extract and structure content, then validate the output before it affects high-stakes healthcare decisions.</w:t>
      </w:r>
    </w:p>
    <w:p w14:paraId="5054BC03" w14:textId="77777777" w:rsidR="00CA03AA" w:rsidRDefault="00000000">
      <w:pPr>
        <w:spacing w:before="120" w:after="20" w:line="240" w:lineRule="auto"/>
      </w:pPr>
      <w:r>
        <w:rPr>
          <w:rFonts w:eastAsia="Calibri"/>
          <w:b/>
          <w:color w:val="2E74B5"/>
          <w:sz w:val="25"/>
        </w:rPr>
        <w:t>Opportunities for Cotiviti</w:t>
      </w:r>
    </w:p>
    <w:p w14:paraId="5DBDB134" w14:textId="77777777" w:rsidR="00CA03AA" w:rsidRDefault="00000000">
      <w:pPr>
        <w:spacing w:after="64" w:line="250" w:lineRule="auto"/>
      </w:pPr>
      <w:r>
        <w:rPr>
          <w:rFonts w:eastAsia="Calibri"/>
          <w:sz w:val="20"/>
        </w:rPr>
        <w:t>Cotiviti could explore a healthcare policy intelligence platform for payer operations. The platform would ingest a billing policy, coding policy, contract excerpt, or medical necessity guideline and produce a concise summary, relevant CPT or HCPCS codes, effective dates, exclusions, documentation requirements, and draft rule logic. It could also compare two policy versions and highlight what changed. This would help analysts move from reading long documents to reviewing structured outputs tied back to source text.</w:t>
      </w:r>
    </w:p>
    <w:p w14:paraId="51440A3B" w14:textId="77777777" w:rsidR="00CA03AA" w:rsidRDefault="00000000">
      <w:pPr>
        <w:spacing w:after="64" w:line="250" w:lineRule="auto"/>
      </w:pPr>
      <w:r>
        <w:rPr>
          <w:rFonts w:eastAsia="Calibri"/>
          <w:sz w:val="20"/>
        </w:rPr>
        <w:t xml:space="preserve">The business value would come from faster policy review, more consistent rule development, better audit trails, and quicker response to policy or coding changes. A simple proof of concept could demonstrate this by accepting two </w:t>
      </w:r>
      <w:r>
        <w:rPr>
          <w:rFonts w:eastAsia="Calibri"/>
          <w:sz w:val="20"/>
        </w:rPr>
        <w:lastRenderedPageBreak/>
        <w:t>sample policies, summarizing them, extracting requirements, comparing changes, and generating readable logic such as: if a procedure code is present, prior authorization is missing, and required documentation is absent, then flag the claim for review.</w:t>
      </w:r>
    </w:p>
    <w:p w14:paraId="3A495A51" w14:textId="77777777" w:rsidR="00CA03AA" w:rsidRDefault="00000000">
      <w:pPr>
        <w:spacing w:before="120" w:after="20" w:line="240" w:lineRule="auto"/>
      </w:pPr>
      <w:r>
        <w:rPr>
          <w:rFonts w:eastAsia="Calibri"/>
          <w:b/>
          <w:color w:val="2E74B5"/>
          <w:sz w:val="25"/>
        </w:rPr>
        <w:t>Threats and Controls</w:t>
      </w:r>
    </w:p>
    <w:p w14:paraId="2B1AA9F2" w14:textId="77777777" w:rsidR="00CA03AA" w:rsidRDefault="00000000">
      <w:pPr>
        <w:spacing w:after="64" w:line="250" w:lineRule="auto"/>
      </w:pPr>
      <w:r>
        <w:rPr>
          <w:rFonts w:eastAsia="Calibri"/>
          <w:sz w:val="20"/>
        </w:rPr>
        <w:t>The main threats are hallucination, outdated sources, privacy risk, and weak explainability. An AI system may misread an exception, invent a requirement, or ignore a plan-specific limitation. In payment operations, this could create claim errors, inappropriate denials, provider abrasion, or compliance risk. For that reason, Cotiviti should not position the system as a fully automated decision maker. It should be a human-in-the-loop tool that provides source citations, confidence scores, version history, and analyst approval before rules are used operationally.</w:t>
      </w:r>
    </w:p>
    <w:p w14:paraId="38F67E8F" w14:textId="77777777" w:rsidR="00CA03AA" w:rsidRDefault="00000000">
      <w:pPr>
        <w:spacing w:before="120" w:after="20" w:line="240" w:lineRule="auto"/>
      </w:pPr>
      <w:r>
        <w:rPr>
          <w:rFonts w:eastAsia="Calibri"/>
          <w:b/>
          <w:color w:val="2E74B5"/>
          <w:sz w:val="25"/>
        </w:rPr>
        <w:t>Strategic Recommendation and Conclusion</w:t>
      </w:r>
    </w:p>
    <w:p w14:paraId="6361FF07" w14:textId="77777777" w:rsidR="00CA03AA" w:rsidRDefault="00000000">
      <w:pPr>
        <w:spacing w:after="64" w:line="250" w:lineRule="auto"/>
      </w:pPr>
      <w:r>
        <w:rPr>
          <w:rFonts w:eastAsia="Calibri"/>
          <w:sz w:val="20"/>
        </w:rPr>
        <w:t>Cotiviti should explore a policy-to-rule pipeline as a strategic investment. The first version should focus on low-risk, high-value functions: summarization, policy comparison, code extraction, and draft rule generation. Over time, the platform could connect to coding libraries, prior authorization workflows, payer policy repositories, and claims review systems.</w:t>
      </w:r>
    </w:p>
    <w:p w14:paraId="41818988" w14:textId="77777777" w:rsidR="00CA03AA" w:rsidRDefault="00000000">
      <w:pPr>
        <w:spacing w:after="64" w:line="250" w:lineRule="auto"/>
      </w:pPr>
      <w:r>
        <w:rPr>
          <w:rFonts w:eastAsia="Calibri"/>
          <w:sz w:val="20"/>
        </w:rPr>
        <w:t>This topic can help Cotiviti because it connects directly to payment accuracy, payer analytics, and operational efficiency. Cotiviti's clients must manage large volumes of policy content and apply that content consistently to claims, prior authorization, coding, and compliance workflows. By transforming written policy into structured, reviewable, and auditable rules, Cotiviti could reduce manual effort, improve consistency, increase transparency, and respond faster to healthcare policy changes. The best strategic position is to use AI as an expert assistant: fast enough to create speed to value, but controlled enough to preserve trust in high-stakes payer decisions.</w:t>
      </w:r>
    </w:p>
    <w:p w14:paraId="21860604" w14:textId="77777777" w:rsidR="00CA03AA" w:rsidRDefault="00000000">
      <w:r>
        <w:br w:type="page"/>
      </w:r>
    </w:p>
    <w:p w14:paraId="2DA1989A" w14:textId="77777777" w:rsidR="00CA03AA" w:rsidRDefault="00000000">
      <w:pPr>
        <w:spacing w:after="160" w:line="240" w:lineRule="auto"/>
      </w:pPr>
      <w:r>
        <w:rPr>
          <w:rFonts w:eastAsia="Calibri"/>
          <w:b/>
          <w:color w:val="0B2545"/>
          <w:sz w:val="28"/>
        </w:rPr>
        <w:lastRenderedPageBreak/>
        <w:t>References</w:t>
      </w:r>
    </w:p>
    <w:p w14:paraId="2B681AEC" w14:textId="77777777" w:rsidR="00CA03AA" w:rsidRDefault="00000000" w:rsidP="00397665">
      <w:pPr>
        <w:pStyle w:val="ListParagraph"/>
        <w:numPr>
          <w:ilvl w:val="0"/>
          <w:numId w:val="10"/>
        </w:numPr>
        <w:spacing w:after="120" w:line="252" w:lineRule="auto"/>
      </w:pPr>
      <w:r w:rsidRPr="00397665">
        <w:rPr>
          <w:rFonts w:eastAsia="Calibri"/>
          <w:sz w:val="20"/>
        </w:rPr>
        <w:t>American Medical Association. (2026). CPT code set overview. https://www.ama-assn.org/practice-management/cpt/cpt-code-set-overview</w:t>
      </w:r>
    </w:p>
    <w:p w14:paraId="53DD9471" w14:textId="77777777" w:rsidR="00CA03AA" w:rsidRDefault="00000000" w:rsidP="00397665">
      <w:pPr>
        <w:pStyle w:val="ListParagraph"/>
        <w:numPr>
          <w:ilvl w:val="0"/>
          <w:numId w:val="10"/>
        </w:numPr>
        <w:spacing w:after="120" w:line="252" w:lineRule="auto"/>
      </w:pPr>
      <w:r w:rsidRPr="00397665">
        <w:rPr>
          <w:rFonts w:eastAsia="Calibri"/>
          <w:sz w:val="20"/>
        </w:rPr>
        <w:t>Centers for Medicare &amp; Medicaid Services. (2024). Medicare and Medicaid Programs; Patient Protection and Affordable Care Act; Advancing Interoperability and Improving Prior Authorization Processes (CMS-0057-F). Federal Register. https://www.federalregister.gov/documents/2024/02/08/2024-00895/medicare-and-medicaid-programs-patient-protection-and-affordable-care-act-advancing-interoperability</w:t>
      </w:r>
    </w:p>
    <w:p w14:paraId="7694A28B" w14:textId="77777777" w:rsidR="00CA03AA" w:rsidRDefault="00000000" w:rsidP="00397665">
      <w:pPr>
        <w:pStyle w:val="ListParagraph"/>
        <w:numPr>
          <w:ilvl w:val="0"/>
          <w:numId w:val="10"/>
        </w:numPr>
        <w:spacing w:after="120" w:line="252" w:lineRule="auto"/>
      </w:pPr>
      <w:r w:rsidRPr="00397665">
        <w:rPr>
          <w:rFonts w:eastAsia="Calibri"/>
          <w:sz w:val="20"/>
        </w:rPr>
        <w:t>Deng, R., Martin, G., Wang, T., Zhang, G., Liu, Y., Weng, C., Rousseau, J. F., Wang, Y., &amp; Peng, Y. (2026). CPGPrompt: Translating clinical guidelines into LLM-executable decision support. arXiv. https://arxiv.org/abs/2601.03475</w:t>
      </w:r>
    </w:p>
    <w:p w14:paraId="3F2C9320" w14:textId="77777777" w:rsidR="00CA03AA" w:rsidRDefault="00000000" w:rsidP="00397665">
      <w:pPr>
        <w:pStyle w:val="ListParagraph"/>
        <w:numPr>
          <w:ilvl w:val="0"/>
          <w:numId w:val="10"/>
        </w:numPr>
        <w:spacing w:after="120" w:line="252" w:lineRule="auto"/>
      </w:pPr>
      <w:r w:rsidRPr="00397665">
        <w:rPr>
          <w:rFonts w:eastAsia="Calibri"/>
          <w:sz w:val="20"/>
        </w:rPr>
        <w:t>eCQI Resource Center. (2026). CQL - Clinical Quality Language: Versions. https://ecqi.healthit.gov/cql/versions</w:t>
      </w:r>
    </w:p>
    <w:p w14:paraId="2C150A5E" w14:textId="77777777" w:rsidR="00CA03AA" w:rsidRDefault="00000000" w:rsidP="00397665">
      <w:pPr>
        <w:pStyle w:val="ListParagraph"/>
        <w:numPr>
          <w:ilvl w:val="0"/>
          <w:numId w:val="10"/>
        </w:numPr>
        <w:spacing w:after="120" w:line="252" w:lineRule="auto"/>
      </w:pPr>
      <w:r w:rsidRPr="00397665">
        <w:rPr>
          <w:rFonts w:eastAsia="Calibri"/>
          <w:sz w:val="20"/>
        </w:rPr>
        <w:t>Kastroulis, A., Bonfini, P., &amp; Litsas, A. (2022). Introducing Hermes: Executing Clinical Quality Language at over 66 million resources per second. arXiv. https://arxiv.org/abs/2212.06043</w:t>
      </w:r>
    </w:p>
    <w:p w14:paraId="3E3B8686" w14:textId="77777777" w:rsidR="00CA03AA" w:rsidRDefault="00000000" w:rsidP="00397665">
      <w:pPr>
        <w:pStyle w:val="ListParagraph"/>
        <w:numPr>
          <w:ilvl w:val="0"/>
          <w:numId w:val="10"/>
        </w:numPr>
        <w:spacing w:after="120" w:line="252" w:lineRule="auto"/>
      </w:pPr>
      <w:r w:rsidRPr="00397665">
        <w:rPr>
          <w:rFonts w:eastAsia="Calibri"/>
          <w:sz w:val="20"/>
        </w:rPr>
        <w:t>Riquelme, A., Costa, P., &amp; Martinez, C. (2025). Large language models for automating clinical data standardization: HL7 FHIR use case. arXiv. https://arxiv.org/abs/2507.03067</w:t>
      </w:r>
    </w:p>
    <w:sectPr w:rsidR="00CA03AA" w:rsidSect="00034616">
      <w:footerReference w:type="default" r:id="rId8"/>
      <w:pgSz w:w="12240" w:h="15840"/>
      <w:pgMar w:top="979" w:right="1224" w:bottom="979"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2A266" w14:textId="77777777" w:rsidR="00A50DE7" w:rsidRDefault="00A50DE7">
      <w:pPr>
        <w:spacing w:after="0" w:line="240" w:lineRule="auto"/>
      </w:pPr>
      <w:r>
        <w:separator/>
      </w:r>
    </w:p>
  </w:endnote>
  <w:endnote w:type="continuationSeparator" w:id="0">
    <w:p w14:paraId="5D5891F3" w14:textId="77777777" w:rsidR="00A50DE7" w:rsidRDefault="00A50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20AC" w14:textId="77777777" w:rsidR="00CA03AA" w:rsidRDefault="00000000">
    <w:pPr>
      <w:pStyle w:val="Footer"/>
      <w:jc w:val="right"/>
    </w:pPr>
    <w:r>
      <w:rPr>
        <w:rFonts w:eastAsia="Calibri"/>
        <w:color w:val="5A5A5A"/>
        <w:sz w:val="18"/>
      </w:rPr>
      <w:fldChar w:fldCharType="begin"/>
    </w:r>
    <w:r>
      <w:rPr>
        <w:rFonts w:eastAsia="Calibri"/>
        <w:color w:val="5A5A5A"/>
        <w:sz w:val="18"/>
      </w:rPr>
      <w:instrText>PAGE</w:instrText>
    </w:r>
    <w:r>
      <w:rPr>
        <w:rFonts w:eastAsia="Calibri"/>
        <w:color w:val="5A5A5A"/>
        <w:sz w:val="18"/>
      </w:rPr>
      <w:fldChar w:fldCharType="separate"/>
    </w:r>
    <w:r w:rsidR="00D83E61">
      <w:rPr>
        <w:rFonts w:eastAsia="Calibri"/>
        <w:noProof/>
        <w:color w:val="5A5A5A"/>
        <w:sz w:val="18"/>
      </w:rPr>
      <w:t>1</w:t>
    </w:r>
    <w:r>
      <w:rPr>
        <w:rFonts w:eastAsia="Calibri"/>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4F75A" w14:textId="77777777" w:rsidR="00A50DE7" w:rsidRDefault="00A50DE7">
      <w:pPr>
        <w:spacing w:after="0" w:line="240" w:lineRule="auto"/>
      </w:pPr>
      <w:r>
        <w:separator/>
      </w:r>
    </w:p>
  </w:footnote>
  <w:footnote w:type="continuationSeparator" w:id="0">
    <w:p w14:paraId="2A9B9F76" w14:textId="77777777" w:rsidR="00A50DE7" w:rsidRDefault="00A50D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433723"/>
    <w:multiLevelType w:val="hybridMultilevel"/>
    <w:tmpl w:val="DC70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9120817">
    <w:abstractNumId w:val="8"/>
  </w:num>
  <w:num w:numId="2" w16cid:durableId="1604148406">
    <w:abstractNumId w:val="6"/>
  </w:num>
  <w:num w:numId="3" w16cid:durableId="77868593">
    <w:abstractNumId w:val="5"/>
  </w:num>
  <w:num w:numId="4" w16cid:durableId="563298243">
    <w:abstractNumId w:val="4"/>
  </w:num>
  <w:num w:numId="5" w16cid:durableId="99690560">
    <w:abstractNumId w:val="7"/>
  </w:num>
  <w:num w:numId="6" w16cid:durableId="1966042493">
    <w:abstractNumId w:val="3"/>
  </w:num>
  <w:num w:numId="7" w16cid:durableId="1169560805">
    <w:abstractNumId w:val="2"/>
  </w:num>
  <w:num w:numId="8" w16cid:durableId="833759501">
    <w:abstractNumId w:val="1"/>
  </w:num>
  <w:num w:numId="9" w16cid:durableId="924191575">
    <w:abstractNumId w:val="0"/>
  </w:num>
  <w:num w:numId="10" w16cid:durableId="75321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7665"/>
    <w:rsid w:val="00430514"/>
    <w:rsid w:val="004C3206"/>
    <w:rsid w:val="0094596A"/>
    <w:rsid w:val="009D2386"/>
    <w:rsid w:val="00A50DE7"/>
    <w:rsid w:val="00AA1D8D"/>
    <w:rsid w:val="00B47730"/>
    <w:rsid w:val="00CA03AA"/>
    <w:rsid w:val="00CB0664"/>
    <w:rsid w:val="00D83E61"/>
    <w:rsid w:val="00F422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DD19E"/>
  <w14:defaultImageDpi w14:val="300"/>
  <w15:docId w15:val="{41BF928A-3915-114F-8EFC-93F84AA3D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Surya Likhit Monavarthy</cp:lastModifiedBy>
  <cp:revision>2</cp:revision>
  <dcterms:created xsi:type="dcterms:W3CDTF">2026-07-03T19:56:00Z</dcterms:created>
  <dcterms:modified xsi:type="dcterms:W3CDTF">2026-07-03T19:56:00Z</dcterms:modified>
  <cp:category/>
</cp:coreProperties>
</file>