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SAY NO TO PLASTIC - MASTER WEBSITE BLUEPRINT</w:t>
      </w:r>
    </w:p>
    <w:p>
      <w:pPr>
        <w:jc w:val="center"/>
      </w:pPr>
      <w:r>
        <w:rPr>
          <w:color w:val="565656"/>
          <w:sz w:val="24"/>
        </w:rPr>
        <w:t>Chapter 1: Exact Designer Setup, Design System, and Wix Studio Build Instructions</w:t>
      </w:r>
    </w:p>
    <w:p>
      <w:r>
        <w:rPr>
          <w:b w:val="0"/>
        </w:rPr>
        <w:t>This chapter is an execution checklist. Complete these steps before designing the landing-page sections. Do not reinterpret the order, substitute stock templates, or introduce a second visual system.</w:t>
      </w:r>
    </w:p>
    <w:p>
      <w:pPr>
        <w:pStyle w:val="Heading1X"/>
      </w:pPr>
      <w:r>
        <w:t>1. Create the Wix Studio project correctly</w:t>
      </w:r>
    </w:p>
    <w:p>
      <w:pPr>
        <w:pStyle w:val="ListNumber"/>
      </w:pPr>
      <w:r>
        <w:t>Create a new Wix Studio site or duplicate the current staging site only after making a backup copy.</w:t>
      </w:r>
    </w:p>
    <w:p>
      <w:pPr>
        <w:pStyle w:val="ListNumber"/>
      </w:pPr>
      <w:r>
        <w:t>Name the working project: Say No To Plastic - Master Website Rebuild.</w:t>
      </w:r>
    </w:p>
    <w:p>
      <w:pPr>
        <w:pStyle w:val="ListNumber"/>
      </w:pPr>
      <w:r>
        <w:t>Create three environments or clearly separated states: Working Draft, Client Review, and Published.</w:t>
      </w:r>
    </w:p>
    <w:p>
      <w:pPr>
        <w:pStyle w:val="ListNumber"/>
      </w:pPr>
      <w:r>
        <w:t>Connect the custom domain only after the new landing page has passed desktop and mobile review.</w:t>
      </w:r>
    </w:p>
    <w:p>
      <w:pPr>
        <w:pStyle w:val="ListNumber"/>
      </w:pPr>
      <w:r>
        <w:t>Remove all Wix placeholder content, including the 2035 copyright line, generic business name, sample forms, unused pages, and template stock photography.</w:t>
      </w:r>
    </w:p>
    <w:p>
      <w:pPr>
        <w:pStyle w:val="ListNumber"/>
      </w:pPr>
      <w:r>
        <w:t>Turn on site history/versioning before beginning structural changes.</w:t>
      </w:r>
    </w:p>
    <w:p>
      <w:pPr>
        <w:pStyle w:val="ListNumber"/>
      </w:pPr>
      <w:r>
        <w:t>Add Google Analytics, Search Console, Meta Pixel, or other tracking only after cookie/privacy requirements are configured.</w:t>
      </w:r>
    </w:p>
    <w:p>
      <w:pPr>
        <w:pStyle w:val="Heading2X"/>
      </w:pPr>
      <w:r>
        <w:t>Required page list at project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Home</w:t>
            </w:r>
          </w:p>
        </w:tc>
        <w:tc>
          <w:tcPr>
            <w:tcW w:type="dxa" w:w="5083"/>
            <w:vAlign w:val="top"/>
          </w:tcPr>
          <w:p>
            <w:r>
              <w:t>Primary landing page. Build first.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Science</w:t>
            </w:r>
          </w:p>
        </w:tc>
        <w:tc>
          <w:tcPr>
            <w:tcW w:type="dxa" w:w="5083"/>
            <w:vAlign w:val="top"/>
          </w:tcPr>
          <w:p>
            <w:r>
              <w:t>Create as a placeholder page with correct URL slug /science.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Solutions</w:t>
            </w:r>
          </w:p>
        </w:tc>
        <w:tc>
          <w:tcPr>
            <w:tcW w:type="dxa" w:w="5083"/>
            <w:vAlign w:val="top"/>
          </w:tcPr>
          <w:p>
            <w:r>
              <w:t>Create as a placeholder page with correct URL slug /solutions.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Resources</w:t>
            </w:r>
          </w:p>
        </w:tc>
        <w:tc>
          <w:tcPr>
            <w:tcW w:type="dxa" w:w="5083"/>
            <w:vAlign w:val="top"/>
          </w:tcPr>
          <w:p>
            <w:r>
              <w:t>Create as a placeholder page with correct URL slug /resources.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Homo Plasticus</w:t>
            </w:r>
          </w:p>
        </w:tc>
        <w:tc>
          <w:tcPr>
            <w:tcW w:type="dxa" w:w="5083"/>
            <w:vAlign w:val="top"/>
          </w:tcPr>
          <w:p>
            <w:r>
              <w:t>Create as /homo-plasticus.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About Dr. Haddad</w:t>
            </w:r>
          </w:p>
        </w:tc>
        <w:tc>
          <w:tcPr>
            <w:tcW w:type="dxa" w:w="5083"/>
            <w:vAlign w:val="top"/>
          </w:tcPr>
          <w:p>
            <w:r>
              <w:t>Create as /about-dr-elie-haddad.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TEDx</w:t>
            </w:r>
          </w:p>
        </w:tc>
        <w:tc>
          <w:tcPr>
            <w:tcW w:type="dxa" w:w="5083"/>
            <w:vAlign w:val="top"/>
          </w:tcPr>
          <w:p>
            <w:r>
              <w:t>Create as /tedx.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Community</w:t>
            </w:r>
          </w:p>
        </w:tc>
        <w:tc>
          <w:tcPr>
            <w:tcW w:type="dxa" w:w="5083"/>
            <w:vAlign w:val="top"/>
          </w:tcPr>
          <w:p>
            <w:r>
              <w:t>Create as /community.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5083"/>
            <w:vAlign w:val="top"/>
          </w:tcPr>
          <w:p>
            <w:r>
              <w:t>Create as /contact.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Privacy Policy</w:t>
            </w:r>
          </w:p>
        </w:tc>
        <w:tc>
          <w:tcPr>
            <w:tcW w:type="dxa" w:w="5083"/>
            <w:vAlign w:val="top"/>
          </w:tcPr>
          <w:p>
            <w:r>
              <w:t>Create as /privacy-policy.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Terms</w:t>
            </w:r>
          </w:p>
        </w:tc>
        <w:tc>
          <w:tcPr>
            <w:tcW w:type="dxa" w:w="5083"/>
            <w:vAlign w:val="top"/>
          </w:tcPr>
          <w:p>
            <w:r>
              <w:t>Create as /terms.</w:t>
            </w:r>
          </w:p>
        </w:tc>
      </w:tr>
    </w:tbl>
    <w:p/>
    <w:p>
      <w:pPr>
        <w:pStyle w:val="Heading1X"/>
      </w:pPr>
      <w:r>
        <w:t>2. Establish the global design tokens before placing content</w:t>
      </w:r>
    </w:p>
    <w:p>
      <w:pPr>
        <w:pStyle w:val="Heading2X"/>
      </w:pPr>
      <w:r>
        <w:t>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Midnight Navy</w:t>
            </w:r>
          </w:p>
        </w:tc>
        <w:tc>
          <w:tcPr>
            <w:tcW w:type="dxa" w:w="5083"/>
            <w:vAlign w:val="top"/>
          </w:tcPr>
          <w:p>
            <w:r>
              <w:t>#09121F - Primary dark background, navigation, footer, evidence section.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Charcoal</w:t>
            </w:r>
          </w:p>
        </w:tc>
        <w:tc>
          <w:tcPr>
            <w:tcW w:type="dxa" w:w="5083"/>
            <w:vAlign w:val="top"/>
          </w:tcPr>
          <w:p>
            <w:r>
              <w:t>#202020 - Secondary dark background and long-form text on light surfaces.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Warm Ivory</w:t>
            </w:r>
          </w:p>
        </w:tc>
        <w:tc>
          <w:tcPr>
            <w:tcW w:type="dxa" w:w="5083"/>
            <w:vAlign w:val="top"/>
          </w:tcPr>
          <w:p>
            <w:r>
              <w:t>#F5F1E8 - Main light background. Do not use cold pure white for large sections.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White</w:t>
            </w:r>
          </w:p>
        </w:tc>
        <w:tc>
          <w:tcPr>
            <w:tcW w:type="dxa" w:w="5083"/>
            <w:vAlign w:val="top"/>
          </w:tcPr>
          <w:p>
            <w:r>
              <w:t>#FFFFFF - Text on dark backgrounds and selected clean surfaces.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Muted Gold</w:t>
            </w:r>
          </w:p>
        </w:tc>
        <w:tc>
          <w:tcPr>
            <w:tcW w:type="dxa" w:w="5083"/>
            <w:vAlign w:val="top"/>
          </w:tcPr>
          <w:p>
            <w:r>
              <w:t>#B4823A - Primary accent, CTA fill, dividers, eyebrow labels, selected highlights.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Soft Gold Hover</w:t>
            </w:r>
          </w:p>
        </w:tc>
        <w:tc>
          <w:tcPr>
            <w:tcW w:type="dxa" w:w="5083"/>
            <w:vAlign w:val="top"/>
          </w:tcPr>
          <w:p>
            <w:r>
              <w:t>#C79A55 - Hover/active state only.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Muted Gray</w:t>
            </w:r>
          </w:p>
        </w:tc>
        <w:tc>
          <w:tcPr>
            <w:tcW w:type="dxa" w:w="5083"/>
            <w:vAlign w:val="top"/>
          </w:tcPr>
          <w:p>
            <w:r>
              <w:t>#6B7280 - Secondary copy and captions.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Error Red</w:t>
            </w:r>
          </w:p>
        </w:tc>
        <w:tc>
          <w:tcPr>
            <w:tcW w:type="dxa" w:w="5083"/>
            <w:vAlign w:val="top"/>
          </w:tcPr>
          <w:p>
            <w:r>
              <w:t>#A63A3A - Form errors only. Do not use as a brand accent.</w:t>
            </w:r>
          </w:p>
        </w:tc>
      </w:tr>
    </w:tbl>
    <w:p/>
    <w:p>
      <w:pPr>
        <w:pStyle w:val="Heading2X"/>
      </w:pPr>
      <w:r>
        <w:t>Typography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Display / H1</w:t>
            </w:r>
          </w:p>
        </w:tc>
        <w:tc>
          <w:tcPr>
            <w:tcW w:type="dxa" w:w="5083"/>
            <w:vAlign w:val="top"/>
          </w:tcPr>
          <w:p>
            <w:r>
              <w:t>Cormorant Garamond Semibold or DM Serif Display. Desktop 72 px / 1.02 line-height; tablet 56 px; mobile 42 px.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H2</w:t>
            </w:r>
          </w:p>
        </w:tc>
        <w:tc>
          <w:tcPr>
            <w:tcW w:type="dxa" w:w="5083"/>
            <w:vAlign w:val="top"/>
          </w:tcPr>
          <w:p>
            <w:r>
              <w:t>Same serif family. Desktop 54 px / 1.08; tablet 44 px; mobile 36 px.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H3</w:t>
            </w:r>
          </w:p>
        </w:tc>
        <w:tc>
          <w:tcPr>
            <w:tcW w:type="dxa" w:w="5083"/>
            <w:vAlign w:val="top"/>
          </w:tcPr>
          <w:p>
            <w:r>
              <w:t>Same serif family. Desktop 34 px; tablet 30 px; mobile 27 px.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Eyebrow</w:t>
            </w:r>
          </w:p>
        </w:tc>
        <w:tc>
          <w:tcPr>
            <w:tcW w:type="dxa" w:w="5083"/>
            <w:vAlign w:val="top"/>
          </w:tcPr>
          <w:p>
            <w:r>
              <w:t>Inter Semibold, 13 px desktop and 12 px mobile, uppercase, letter spacing 0.12em.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Body Large</w:t>
            </w:r>
          </w:p>
        </w:tc>
        <w:tc>
          <w:tcPr>
            <w:tcW w:type="dxa" w:w="5083"/>
            <w:vAlign w:val="top"/>
          </w:tcPr>
          <w:p>
            <w:r>
              <w:t>Inter Regular, 20 px desktop, 18 px tablet, 17 px mobile; line-height 1.6.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Body</w:t>
            </w:r>
          </w:p>
        </w:tc>
        <w:tc>
          <w:tcPr>
            <w:tcW w:type="dxa" w:w="5083"/>
            <w:vAlign w:val="top"/>
          </w:tcPr>
          <w:p>
            <w:r>
              <w:t>Inter Regular, 17 px desktop, 16 px mobile; line-height 1.6.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5083"/>
            <w:vAlign w:val="top"/>
          </w:tcPr>
          <w:p>
            <w:r>
              <w:t>Inter Semibold, 15 px, uppercase optional, letter spacing 0.04em.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Caption</w:t>
            </w:r>
          </w:p>
        </w:tc>
        <w:tc>
          <w:tcPr>
            <w:tcW w:type="dxa" w:w="5083"/>
            <w:vAlign w:val="top"/>
          </w:tcPr>
          <w:p>
            <w:r>
              <w:t>Inter Regular, 13-14 px, line-height 1.45.</w:t>
            </w:r>
          </w:p>
        </w:tc>
      </w:tr>
    </w:tbl>
    <w:p/>
    <w:p>
      <w:r>
        <w:rPr>
          <w:b w:val="0"/>
        </w:rPr>
        <w:t>Use no more than two font families across the entire site. Load only the weights actually used to protect performance.</w:t>
      </w:r>
    </w:p>
    <w:p>
      <w:pPr>
        <w:pStyle w:val="Heading2X"/>
      </w:pPr>
      <w:r>
        <w:t>Spacing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4 px</w:t>
            </w:r>
          </w:p>
        </w:tc>
        <w:tc>
          <w:tcPr>
            <w:tcW w:type="dxa" w:w="5083"/>
            <w:vAlign w:val="top"/>
          </w:tcPr>
          <w:p>
            <w:r>
              <w:t>Micro spacing inside icons or tightly related elements.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8 px</w:t>
            </w:r>
          </w:p>
        </w:tc>
        <w:tc>
          <w:tcPr>
            <w:tcW w:type="dxa" w:w="5083"/>
            <w:vAlign w:val="top"/>
          </w:tcPr>
          <w:p>
            <w:r>
              <w:t>Small inline spacing.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12 px</w:t>
            </w:r>
          </w:p>
        </w:tc>
        <w:tc>
          <w:tcPr>
            <w:tcW w:type="dxa" w:w="5083"/>
            <w:vAlign w:val="top"/>
          </w:tcPr>
          <w:p>
            <w:r>
              <w:t>Button icon gap or compact control spacing.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16 px</w:t>
            </w:r>
          </w:p>
        </w:tc>
        <w:tc>
          <w:tcPr>
            <w:tcW w:type="dxa" w:w="5083"/>
            <w:vAlign w:val="top"/>
          </w:tcPr>
          <w:p>
            <w:r>
              <w:t>Standard element gap.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24 px</w:t>
            </w:r>
          </w:p>
        </w:tc>
        <w:tc>
          <w:tcPr>
            <w:tcW w:type="dxa" w:w="5083"/>
            <w:vAlign w:val="top"/>
          </w:tcPr>
          <w:p>
            <w:r>
              <w:t>Paragraph-to-button or card-content spacing.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32 px</w:t>
            </w:r>
          </w:p>
        </w:tc>
        <w:tc>
          <w:tcPr>
            <w:tcW w:type="dxa" w:w="5083"/>
            <w:vAlign w:val="top"/>
          </w:tcPr>
          <w:p>
            <w:r>
              <w:t>Small content group separation.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48 px</w:t>
            </w:r>
          </w:p>
        </w:tc>
        <w:tc>
          <w:tcPr>
            <w:tcW w:type="dxa" w:w="5083"/>
            <w:vAlign w:val="top"/>
          </w:tcPr>
          <w:p>
            <w:r>
              <w:t>Desktop text-group separation.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64 px</w:t>
            </w:r>
          </w:p>
        </w:tc>
        <w:tc>
          <w:tcPr>
            <w:tcW w:type="dxa" w:w="5083"/>
            <w:vAlign w:val="top"/>
          </w:tcPr>
          <w:p>
            <w:r>
              <w:t>Mobile section padding or medium desktop gap.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96 px</w:t>
            </w:r>
          </w:p>
        </w:tc>
        <w:tc>
          <w:tcPr>
            <w:tcW w:type="dxa" w:w="5083"/>
            <w:vAlign w:val="top"/>
          </w:tcPr>
          <w:p>
            <w:r>
              <w:t>Standard desktop section padding.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128 px</w:t>
            </w:r>
          </w:p>
        </w:tc>
        <w:tc>
          <w:tcPr>
            <w:tcW w:type="dxa" w:w="5083"/>
            <w:vAlign w:val="top"/>
          </w:tcPr>
          <w:p>
            <w:r>
              <w:t>Large cinematic desktop section padding.</w:t>
            </w:r>
          </w:p>
        </w:tc>
      </w:tr>
    </w:tbl>
    <w:p/>
    <w:p>
      <w:pPr>
        <w:pStyle w:val="Heading2X"/>
      </w:pPr>
      <w:r>
        <w:t>Container and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Desktop canvas</w:t>
            </w:r>
          </w:p>
        </w:tc>
        <w:tc>
          <w:tcPr>
            <w:tcW w:type="dxa" w:w="5083"/>
            <w:vAlign w:val="top"/>
          </w:tcPr>
          <w:p>
            <w:r>
              <w:t>Design at 1440 px reference width.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Maximum content width</w:t>
            </w:r>
          </w:p>
        </w:tc>
        <w:tc>
          <w:tcPr>
            <w:tcW w:type="dxa" w:w="5083"/>
            <w:vAlign w:val="top"/>
          </w:tcPr>
          <w:p>
            <w:r>
              <w:t>1240 px.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Desktop side padding</w:t>
            </w:r>
          </w:p>
        </w:tc>
        <w:tc>
          <w:tcPr>
            <w:tcW w:type="dxa" w:w="5083"/>
            <w:vAlign w:val="top"/>
          </w:tcPr>
          <w:p>
            <w:r>
              <w:t>80 px at 1440 px; never below 48 px on laptop.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Tablet side padding</w:t>
            </w:r>
          </w:p>
        </w:tc>
        <w:tc>
          <w:tcPr>
            <w:tcW w:type="dxa" w:w="5083"/>
            <w:vAlign w:val="top"/>
          </w:tcPr>
          <w:p>
            <w:r>
              <w:t>40 px.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Mobile side padding</w:t>
            </w:r>
          </w:p>
        </w:tc>
        <w:tc>
          <w:tcPr>
            <w:tcW w:type="dxa" w:w="5083"/>
            <w:vAlign w:val="top"/>
          </w:tcPr>
          <w:p>
            <w:r>
              <w:t>20-24 px.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Desktop grid</w:t>
            </w:r>
          </w:p>
        </w:tc>
        <w:tc>
          <w:tcPr>
            <w:tcW w:type="dxa" w:w="5083"/>
            <w:vAlign w:val="top"/>
          </w:tcPr>
          <w:p>
            <w:r>
              <w:t>12 columns, 24 px gutters.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Tablet grid</w:t>
            </w:r>
          </w:p>
        </w:tc>
        <w:tc>
          <w:tcPr>
            <w:tcW w:type="dxa" w:w="5083"/>
            <w:vAlign w:val="top"/>
          </w:tcPr>
          <w:p>
            <w:r>
              <w:t>8 columns, 20 px gutters.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Mobile grid</w:t>
            </w:r>
          </w:p>
        </w:tc>
        <w:tc>
          <w:tcPr>
            <w:tcW w:type="dxa" w:w="5083"/>
            <w:vAlign w:val="top"/>
          </w:tcPr>
          <w:p>
            <w:r>
              <w:t>4 columns, 16 px gutters.</w:t>
            </w:r>
          </w:p>
        </w:tc>
      </w:tr>
    </w:tbl>
    <w:p/>
    <w:p>
      <w:pPr>
        <w:pStyle w:val="Heading1X"/>
      </w:pPr>
      <w:r>
        <w:t>3. Define responsive breakpoints and test them explicitly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Large desktop</w:t>
            </w:r>
          </w:p>
        </w:tc>
        <w:tc>
          <w:tcPr>
            <w:tcW w:type="dxa" w:w="5083"/>
            <w:vAlign w:val="top"/>
          </w:tcPr>
          <w:p>
            <w:r>
              <w:t>1440 px and above. Keep content max-width fixed; allow backgrounds to extend full width.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Laptop</w:t>
            </w:r>
          </w:p>
        </w:tc>
        <w:tc>
          <w:tcPr>
            <w:tcW w:type="dxa" w:w="5083"/>
            <w:vAlign w:val="top"/>
          </w:tcPr>
          <w:p>
            <w:r>
              <w:t>1024-1439 px. Reduce side padding and headline sizes without changing hierarchy.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Tablet</w:t>
            </w:r>
          </w:p>
        </w:tc>
        <w:tc>
          <w:tcPr>
            <w:tcW w:type="dxa" w:w="5083"/>
            <w:vAlign w:val="top"/>
          </w:tcPr>
          <w:p>
            <w:r>
              <w:t>768-1023 px. Convert crowded two-column compositions to 55/45 or stacked layouts.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Mobile</w:t>
            </w:r>
          </w:p>
        </w:tc>
        <w:tc>
          <w:tcPr>
            <w:tcW w:type="dxa" w:w="5083"/>
            <w:vAlign w:val="top"/>
          </w:tcPr>
          <w:p>
            <w:r>
              <w:t>320-767 px. Use intentional single-column layouts and mobile-specific image crops.</w:t>
            </w:r>
          </w:p>
        </w:tc>
      </w:tr>
    </w:tbl>
    <w:p/>
    <w:p>
      <w:pPr>
        <w:pStyle w:val="ListBullet"/>
      </w:pPr>
      <w:r>
        <w:t>Do not rely on automatic responsive scaling alone.</w:t>
      </w:r>
    </w:p>
    <w:p>
      <w:pPr>
        <w:pStyle w:val="ListBullet"/>
      </w:pPr>
      <w:r>
        <w:t>Create a specific composition for desktop, tablet, and mobile for every major section.</w:t>
      </w:r>
    </w:p>
    <w:p>
      <w:pPr>
        <w:pStyle w:val="ListBullet"/>
      </w:pPr>
      <w:r>
        <w:t>Check 320 px width for overflow.</w:t>
      </w:r>
    </w:p>
    <w:p>
      <w:pPr>
        <w:pStyle w:val="ListBullet"/>
      </w:pPr>
      <w:r>
        <w:t>Never reduce body text below 16 px.</w:t>
      </w:r>
    </w:p>
    <w:p>
      <w:pPr>
        <w:pStyle w:val="ListBullet"/>
      </w:pPr>
      <w:r>
        <w:t>Keep tap targets at least 48 x 48 px.</w:t>
      </w:r>
    </w:p>
    <w:p>
      <w:pPr>
        <w:pStyle w:val="Heading1X"/>
      </w:pPr>
      <w:r>
        <w:t>4. Build the reusable component library before assembling pages</w:t>
      </w:r>
    </w:p>
    <w:p>
      <w:pPr>
        <w:pStyle w:val="Heading2X"/>
      </w:pPr>
      <w:r>
        <w:t>Primary button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5083"/>
            <w:vAlign w:val="top"/>
          </w:tcPr>
          <w:p>
            <w:r>
              <w:t>Muted Gold fill #B4823A, Midnight Navy text, minimum height 50 px, 18-24 px horizontal padding, 10 px corner radius.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Hover</w:t>
            </w:r>
          </w:p>
        </w:tc>
        <w:tc>
          <w:tcPr>
            <w:tcW w:type="dxa" w:w="5083"/>
            <w:vAlign w:val="top"/>
          </w:tcPr>
          <w:p>
            <w:r>
              <w:t>Soft Gold #C79A55, 150-200 ms transition, no dramatic shadow.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5083"/>
            <w:vAlign w:val="top"/>
          </w:tcPr>
          <w:p>
            <w:r>
              <w:t>Visible 2 px ivory or navy focus ring with 2 px offset.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Disabled</w:t>
            </w:r>
          </w:p>
        </w:tc>
        <w:tc>
          <w:tcPr>
            <w:tcW w:type="dxa" w:w="5083"/>
            <w:vAlign w:val="top"/>
          </w:tcPr>
          <w:p>
            <w:r>
              <w:t>40% opacity; no hover animation.</w:t>
            </w:r>
          </w:p>
        </w:tc>
      </w:tr>
    </w:tbl>
    <w:p/>
    <w:p>
      <w:pPr>
        <w:pStyle w:val="Heading2X"/>
      </w:pPr>
      <w:r>
        <w:t>Secondary button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5083"/>
            <w:vAlign w:val="top"/>
          </w:tcPr>
          <w:p>
            <w:r>
              <w:t>Transparent background, 1 px border, text color matched to section contrast.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Hover</w:t>
            </w:r>
          </w:p>
        </w:tc>
        <w:tc>
          <w:tcPr>
            <w:tcW w:type="dxa" w:w="5083"/>
            <w:vAlign w:val="top"/>
          </w:tcPr>
          <w:p>
            <w:r>
              <w:t>Subtle 8-12% background tint.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Sizing</w:t>
            </w:r>
          </w:p>
        </w:tc>
        <w:tc>
          <w:tcPr>
            <w:tcW w:type="dxa" w:w="5083"/>
            <w:vAlign w:val="top"/>
          </w:tcPr>
          <w:p>
            <w:r>
              <w:t>Same height and typography as primary button.</w:t>
            </w:r>
          </w:p>
        </w:tc>
      </w:tr>
    </w:tbl>
    <w:p/>
    <w:p>
      <w:pPr>
        <w:pStyle w:val="Heading2X"/>
      </w:pPr>
      <w:r>
        <w:t>Text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5083"/>
            <w:vAlign w:val="top"/>
          </w:tcPr>
          <w:p>
            <w:r>
              <w:t>Inter Semibold; gold or navy depending on background.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Hover</w:t>
            </w:r>
          </w:p>
        </w:tc>
        <w:tc>
          <w:tcPr>
            <w:tcW w:type="dxa" w:w="5083"/>
            <w:vAlign w:val="top"/>
          </w:tcPr>
          <w:p>
            <w:r>
              <w:t>Underline appears; do not rely on color change alone.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External links</w:t>
            </w:r>
          </w:p>
        </w:tc>
        <w:tc>
          <w:tcPr>
            <w:tcW w:type="dxa" w:w="5083"/>
            <w:vAlign w:val="top"/>
          </w:tcPr>
          <w:p>
            <w:r>
              <w:t>Use external-link icon only when useful; do not clutter navigation.</w:t>
            </w:r>
          </w:p>
        </w:tc>
      </w:tr>
    </w:tbl>
    <w:p/>
    <w:p>
      <w:pPr>
        <w:pStyle w:val="Heading2X"/>
      </w:pPr>
      <w:r>
        <w:t>Content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5083"/>
            <w:vAlign w:val="top"/>
          </w:tcPr>
          <w:p>
            <w:r>
              <w:t>Ivory on dark sections or navy on light sections only when needed.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Radius</w:t>
            </w:r>
          </w:p>
        </w:tc>
        <w:tc>
          <w:tcPr>
            <w:tcW w:type="dxa" w:w="5083"/>
            <w:vAlign w:val="top"/>
          </w:tcPr>
          <w:p>
            <w:r>
              <w:t>12-16 px maximum.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Border</w:t>
            </w:r>
          </w:p>
        </w:tc>
        <w:tc>
          <w:tcPr>
            <w:tcW w:type="dxa" w:w="5083"/>
            <w:vAlign w:val="top"/>
          </w:tcPr>
          <w:p>
            <w:r>
              <w:t>1 px low-contrast border.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Shadow</w:t>
            </w:r>
          </w:p>
        </w:tc>
        <w:tc>
          <w:tcPr>
            <w:tcW w:type="dxa" w:w="5083"/>
            <w:vAlign w:val="top"/>
          </w:tcPr>
          <w:p>
            <w:r>
              <w:t>None by default; optional extremely soft shadow for cards on ivory.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Hover</w:t>
            </w:r>
          </w:p>
        </w:tc>
        <w:tc>
          <w:tcPr>
            <w:tcW w:type="dxa" w:w="5083"/>
            <w:vAlign w:val="top"/>
          </w:tcPr>
          <w:p>
            <w:r>
              <w:t>2% scale maximum or border-color change. Never both if it feels busy.</w:t>
            </w:r>
          </w:p>
        </w:tc>
      </w:tr>
    </w:tbl>
    <w:p/>
    <w:p>
      <w:pPr>
        <w:pStyle w:val="Heading2X"/>
      </w:pPr>
      <w:r>
        <w:t>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Height</w:t>
            </w:r>
          </w:p>
        </w:tc>
        <w:tc>
          <w:tcPr>
            <w:tcW w:type="dxa" w:w="5083"/>
            <w:vAlign w:val="top"/>
          </w:tcPr>
          <w:p>
            <w:r>
              <w:t>52 px minimum.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5083"/>
            <w:vAlign w:val="top"/>
          </w:tcPr>
          <w:p>
            <w:r>
              <w:t>Visible above field; do not use placeholder text as the only label.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Border</w:t>
            </w:r>
          </w:p>
        </w:tc>
        <w:tc>
          <w:tcPr>
            <w:tcW w:type="dxa" w:w="5083"/>
            <w:vAlign w:val="top"/>
          </w:tcPr>
          <w:p>
            <w:r>
              <w:t>1 px neutral border; gold or navy focus state.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5083"/>
            <w:vAlign w:val="top"/>
          </w:tcPr>
          <w:p>
            <w:r>
              <w:t>Plain-language message directly below the field.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Success</w:t>
            </w:r>
          </w:p>
        </w:tc>
        <w:tc>
          <w:tcPr>
            <w:tcW w:type="dxa" w:w="5083"/>
            <w:vAlign w:val="top"/>
          </w:tcPr>
          <w:p>
            <w:r>
              <w:t>Visible confirmation without taking the visitor to an empty page.</w:t>
            </w:r>
          </w:p>
        </w:tc>
      </w:tr>
    </w:tbl>
    <w:p/>
    <w:p>
      <w:pPr>
        <w:pStyle w:val="Heading1X"/>
      </w:pPr>
      <w:r>
        <w:t>5. Configure the global navigation</w:t>
      </w:r>
    </w:p>
    <w:p>
      <w:pPr>
        <w:pStyle w:val="ListNumber"/>
      </w:pPr>
      <w:r>
        <w:t>Create one global header component and apply it to all pages.</w:t>
      </w:r>
    </w:p>
    <w:p>
      <w:pPr>
        <w:pStyle w:val="ListNumber"/>
      </w:pPr>
      <w:r>
        <w:t>Set desktop height between 76 and 84 px.</w:t>
      </w:r>
    </w:p>
    <w:p>
      <w:pPr>
        <w:pStyle w:val="ListNumber"/>
      </w:pPr>
      <w:r>
        <w:t>Place the Say No To Plastic logo/wordmark on the left.</w:t>
      </w:r>
    </w:p>
    <w:p>
      <w:pPr>
        <w:pStyle w:val="ListNumber"/>
      </w:pPr>
      <w:r>
        <w:t>Place links in this order: Science, Solutions, Resources, Homo Plasticus, About, Community.</w:t>
      </w:r>
    </w:p>
    <w:p>
      <w:pPr>
        <w:pStyle w:val="ListNumber"/>
      </w:pPr>
      <w:r>
        <w:t>Place one primary CTA on the far right: START HERE.</w:t>
      </w:r>
    </w:p>
    <w:p>
      <w:pPr>
        <w:pStyle w:val="ListNumber"/>
      </w:pPr>
      <w:r>
        <w:t>Use a transparent header over the hero.</w:t>
      </w:r>
    </w:p>
    <w:p>
      <w:pPr>
        <w:pStyle w:val="ListNumber"/>
      </w:pPr>
      <w:r>
        <w:t>After 40-60 px of scrolling, transition the header to 92% opaque Midnight Navy.</w:t>
      </w:r>
    </w:p>
    <w:p>
      <w:pPr>
        <w:pStyle w:val="ListNumber"/>
      </w:pPr>
      <w:r>
        <w:t>Add a 1 px low-opacity bottom border after the header becomes opaque.</w:t>
      </w:r>
    </w:p>
    <w:p>
      <w:pPr>
        <w:pStyle w:val="ListNumber"/>
      </w:pPr>
      <w:r>
        <w:t>Keep the header sticky.</w:t>
      </w:r>
    </w:p>
    <w:p>
      <w:pPr>
        <w:pStyle w:val="ListNumber"/>
      </w:pPr>
      <w:r>
        <w:t>On mobile, replace links with a hamburger icon and full-height menu panel.</w:t>
      </w:r>
    </w:p>
    <w:p>
      <w:pPr>
        <w:pStyle w:val="Heading2X"/>
      </w:pPr>
      <w:r>
        <w:t>Mobile menu exact behavior</w:t>
      </w:r>
    </w:p>
    <w:p>
      <w:pPr>
        <w:pStyle w:val="ListBullet"/>
      </w:pPr>
      <w:r>
        <w:t>Open from the right or fade in as a full-screen navy panel.</w:t>
      </w:r>
    </w:p>
    <w:p>
      <w:pPr>
        <w:pStyle w:val="ListBullet"/>
      </w:pPr>
      <w:r>
        <w:t>Place the close icon in the same location as the hamburger.</w:t>
      </w:r>
    </w:p>
    <w:p>
      <w:pPr>
        <w:pStyle w:val="ListBullet"/>
      </w:pPr>
      <w:r>
        <w:t>Use 28-34 px menu links with generous vertical spacing.</w:t>
      </w:r>
    </w:p>
    <w:p>
      <w:pPr>
        <w:pStyle w:val="ListBullet"/>
      </w:pPr>
      <w:r>
        <w:t>Keep START HERE as the only filled gold button.</w:t>
      </w:r>
    </w:p>
    <w:p>
      <w:pPr>
        <w:pStyle w:val="ListBullet"/>
      </w:pPr>
      <w:r>
        <w:t>Lock background scrolling while the menu is open.</w:t>
      </w:r>
    </w:p>
    <w:p>
      <w:pPr>
        <w:pStyle w:val="ListBullet"/>
      </w:pPr>
      <w:r>
        <w:t>Return keyboard focus to the hamburger after closing.</w:t>
      </w:r>
    </w:p>
    <w:p>
      <w:pPr>
        <w:pStyle w:val="Heading1X"/>
      </w:pPr>
      <w:r>
        <w:t>6. Configure global image handling</w:t>
      </w:r>
    </w:p>
    <w:p>
      <w:pPr>
        <w:pStyle w:val="ListNumber"/>
      </w:pPr>
      <w:r>
        <w:t>Create separate desktop and mobile crops for every major hero or section image.</w:t>
      </w:r>
    </w:p>
    <w:p>
      <w:pPr>
        <w:pStyle w:val="ListNumber"/>
      </w:pPr>
      <w:r>
        <w:t>Export images in WebP or AVIF, with a high-quality JPEG fallback when needed.</w:t>
      </w:r>
    </w:p>
    <w:p>
      <w:pPr>
        <w:pStyle w:val="ListNumber"/>
      </w:pPr>
      <w:r>
        <w:t>Do not place clickable buttons, form fields, navigation, or essential explanatory copy inside image files.</w:t>
      </w:r>
    </w:p>
    <w:p>
      <w:pPr>
        <w:pStyle w:val="ListNumber"/>
      </w:pPr>
      <w:r>
        <w:t>Use live text over or beside images so it remains responsive, accessible, searchable, and editable.</w:t>
      </w:r>
    </w:p>
    <w:p>
      <w:pPr>
        <w:pStyle w:val="ListNumber"/>
      </w:pPr>
      <w:r>
        <w:t>For generated images that already contain text, treat them as temporary editorial assets; rebuild important copy as live text wherever practical.</w:t>
      </w:r>
    </w:p>
    <w:p>
      <w:pPr>
        <w:pStyle w:val="ListNumber"/>
      </w:pPr>
      <w:r>
        <w:t>Set image focal points manually in Wix Studio.</w:t>
      </w:r>
    </w:p>
    <w:p>
      <w:pPr>
        <w:pStyle w:val="ListNumber"/>
      </w:pPr>
      <w:r>
        <w:t>Add descriptive alt text to meaningful images and empty alt text to decorative images.</w:t>
      </w:r>
    </w:p>
    <w:p>
      <w:pPr>
        <w:pStyle w:val="ListNumber"/>
      </w:pPr>
      <w:r>
        <w:t>Lazy-load all images below the first viewport.</w:t>
      </w:r>
    </w:p>
    <w:p>
      <w:pPr>
        <w:pStyle w:val="ListNumber"/>
      </w:pPr>
      <w:r>
        <w:t>Do not lazy-load the hero image.</w:t>
      </w:r>
    </w:p>
    <w:p>
      <w:pPr>
        <w:pStyle w:val="ListNumber"/>
      </w:pPr>
      <w:r>
        <w:t>Keep the hero image as small as possible without visible degradation; target approximately 500-700 KB.</w:t>
      </w:r>
    </w:p>
    <w:p>
      <w:pPr>
        <w:pStyle w:val="Heading2X"/>
      </w:pPr>
      <w:r>
        <w:t>Image naming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Hero</w:t>
            </w:r>
          </w:p>
        </w:tc>
        <w:tc>
          <w:tcPr>
            <w:tcW w:type="dxa" w:w="5083"/>
            <w:vAlign w:val="top"/>
          </w:tcPr>
          <w:p>
            <w:r>
              <w:t>sntp-home-hero-mother-fetus-desktop.webp / -mobile.webp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Anatomy</w:t>
            </w:r>
          </w:p>
        </w:tc>
        <w:tc>
          <w:tcPr>
            <w:tcW w:type="dxa" w:w="5083"/>
            <w:vAlign w:val="top"/>
          </w:tcPr>
          <w:p>
            <w:r>
              <w:t>sntp-home-anatomy-desktop.webp / -mobile.webp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083"/>
            <w:vAlign w:val="top"/>
          </w:tcPr>
          <w:p>
            <w:r>
              <w:t>sntp-home-evidence-[organ].webp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Kitchen</w:t>
            </w:r>
          </w:p>
        </w:tc>
        <w:tc>
          <w:tcPr>
            <w:tcW w:type="dxa" w:w="5083"/>
            <w:vAlign w:val="top"/>
          </w:tcPr>
          <w:p>
            <w:r>
              <w:t>sntp-home-solutions-kitchen-desktop.webp / -mobile.webp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Book</w:t>
            </w:r>
          </w:p>
        </w:tc>
        <w:tc>
          <w:tcPr>
            <w:tcW w:type="dxa" w:w="5083"/>
            <w:vAlign w:val="top"/>
          </w:tcPr>
          <w:p>
            <w:r>
              <w:t>sntp-home-homo-plasticus-book.webp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Portrait</w:t>
            </w:r>
          </w:p>
        </w:tc>
        <w:tc>
          <w:tcPr>
            <w:tcW w:type="dxa" w:w="5083"/>
            <w:vAlign w:val="top"/>
          </w:tcPr>
          <w:p>
            <w:r>
              <w:t>sntp-home-dr-elie-haddad.webp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TEDx</w:t>
            </w:r>
          </w:p>
        </w:tc>
        <w:tc>
          <w:tcPr>
            <w:tcW w:type="dxa" w:w="5083"/>
            <w:vAlign w:val="top"/>
          </w:tcPr>
          <w:p>
            <w:r>
              <w:t>sntp-home-tedx-invisible-inheritance.webp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Community</w:t>
            </w:r>
          </w:p>
        </w:tc>
        <w:tc>
          <w:tcPr>
            <w:tcW w:type="dxa" w:w="5083"/>
            <w:vAlign w:val="top"/>
          </w:tcPr>
          <w:p>
            <w:r>
              <w:t>sntp-home-three-generations.webp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Footer</w:t>
            </w:r>
          </w:p>
        </w:tc>
        <w:tc>
          <w:tcPr>
            <w:tcW w:type="dxa" w:w="5083"/>
            <w:vAlign w:val="top"/>
          </w:tcPr>
          <w:p>
            <w:r>
              <w:t>sntp-home-earth-night.webp</w:t>
            </w:r>
          </w:p>
        </w:tc>
      </w:tr>
    </w:tbl>
    <w:p/>
    <w:p>
      <w:pPr>
        <w:pStyle w:val="Heading1X"/>
      </w:pPr>
      <w:r>
        <w:t>7. Configure motion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Standard reveal</w:t>
            </w:r>
          </w:p>
        </w:tc>
        <w:tc>
          <w:tcPr>
            <w:tcW w:type="dxa" w:w="5083"/>
            <w:vAlign w:val="top"/>
          </w:tcPr>
          <w:p>
            <w:r>
              <w:t>Opacity 0 to 1 plus translateY 16-24 px; 500-700 ms; ease-out.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Image entrance</w:t>
            </w:r>
          </w:p>
        </w:tc>
        <w:tc>
          <w:tcPr>
            <w:tcW w:type="dxa" w:w="5083"/>
            <w:vAlign w:val="top"/>
          </w:tcPr>
          <w:p>
            <w:r>
              <w:t>Opacity fade or scale 1.00 to 1.02 only.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Hover</w:t>
            </w:r>
          </w:p>
        </w:tc>
        <w:tc>
          <w:tcPr>
            <w:tcW w:type="dxa" w:w="5083"/>
            <w:vAlign w:val="top"/>
          </w:tcPr>
          <w:p>
            <w:r>
              <w:t>150-220 ms.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Section transition</w:t>
            </w:r>
          </w:p>
        </w:tc>
        <w:tc>
          <w:tcPr>
            <w:tcW w:type="dxa" w:w="5083"/>
            <w:vAlign w:val="top"/>
          </w:tcPr>
          <w:p>
            <w:r>
              <w:t>No full-screen wipes, spinning, bouncing, or rapid parallax.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Reduced motion</w:t>
            </w:r>
          </w:p>
        </w:tc>
        <w:tc>
          <w:tcPr>
            <w:tcW w:type="dxa" w:w="5083"/>
            <w:vAlign w:val="top"/>
          </w:tcPr>
          <w:p>
            <w:r>
              <w:t>When prefers-reduced-motion is enabled, show the final static state immediately.</w:t>
            </w:r>
          </w:p>
        </w:tc>
      </w:tr>
    </w:tbl>
    <w:p/>
    <w:p>
      <w:r>
        <w:rPr>
          <w:b w:val="0"/>
        </w:rPr>
        <w:t>Do not animate every line of copy individually. Animate a heading group, body group, or card group as a unit.</w:t>
      </w:r>
    </w:p>
    <w:p>
      <w:pPr>
        <w:pStyle w:val="Heading1X"/>
      </w:pPr>
      <w:r>
        <w:t>8. Configure accessibility before visual approval</w:t>
      </w:r>
    </w:p>
    <w:p>
      <w:pPr>
        <w:pStyle w:val="ListNumber"/>
      </w:pPr>
      <w:r>
        <w:t>Use one H1 only on the Home page.</w:t>
      </w:r>
    </w:p>
    <w:p>
      <w:pPr>
        <w:pStyle w:val="ListNumber"/>
      </w:pPr>
      <w:r>
        <w:t>Follow a logical H1 &gt; H2 &gt; H3 hierarchy.</w:t>
      </w:r>
    </w:p>
    <w:p>
      <w:pPr>
        <w:pStyle w:val="ListNumber"/>
      </w:pPr>
      <w:r>
        <w:t>Maintain WCAG AA contrast for text and controls.</w:t>
      </w:r>
    </w:p>
    <w:p>
      <w:pPr>
        <w:pStyle w:val="ListNumber"/>
      </w:pPr>
      <w:r>
        <w:t>Provide visible keyboard focus for every link, button, menu item, and form field.</w:t>
      </w:r>
    </w:p>
    <w:p>
      <w:pPr>
        <w:pStyle w:val="ListNumber"/>
      </w:pPr>
      <w:r>
        <w:t>Do not convey meaning through color alone.</w:t>
      </w:r>
    </w:p>
    <w:p>
      <w:pPr>
        <w:pStyle w:val="ListNumber"/>
      </w:pPr>
      <w:r>
        <w:t>Add alt text to meaningful images.</w:t>
      </w:r>
    </w:p>
    <w:p>
      <w:pPr>
        <w:pStyle w:val="ListNumber"/>
      </w:pPr>
      <w:r>
        <w:t>Use captions or transcripts for video.</w:t>
      </w:r>
    </w:p>
    <w:p>
      <w:pPr>
        <w:pStyle w:val="ListNumber"/>
      </w:pPr>
      <w:r>
        <w:t>Ensure the hamburger menu, lightboxes, and modal video player can be operated by keyboard.</w:t>
      </w:r>
    </w:p>
    <w:p>
      <w:pPr>
        <w:pStyle w:val="ListNumber"/>
      </w:pPr>
      <w:r>
        <w:t>Test at 200% browser zoom.</w:t>
      </w:r>
    </w:p>
    <w:p>
      <w:pPr>
        <w:pStyle w:val="ListNumber"/>
      </w:pPr>
      <w:r>
        <w:t>Test with reduced motion enabled.</w:t>
      </w:r>
    </w:p>
    <w:p>
      <w:pPr>
        <w:pStyle w:val="Heading1X"/>
      </w:pPr>
      <w:r>
        <w:t>9. Configure SEO and page metadata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5083"/>
            <w:shd w:fill="09121F"/>
          </w:tcPr>
          <w:p>
            <w:r>
              <w:rPr>
                <w:b/>
                <w:color w:val="FFFFFF"/>
              </w:rPr>
              <w:t>Required implementation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Home title</w:t>
            </w:r>
          </w:p>
        </w:tc>
        <w:tc>
          <w:tcPr>
            <w:tcW w:type="dxa" w:w="5083"/>
            <w:vAlign w:val="top"/>
          </w:tcPr>
          <w:p>
            <w:r>
              <w:t>Say No To Plastic | Microplastics, Human Health &amp; Practical Solutions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Home meta description</w:t>
            </w:r>
          </w:p>
        </w:tc>
        <w:tc>
          <w:tcPr>
            <w:tcW w:type="dxa" w:w="5083"/>
            <w:vAlign w:val="top"/>
          </w:tcPr>
          <w:p>
            <w:r>
              <w:t>A physician-led platform translating microplastic and nanoplastic research into practical steps that help protect human health and future generations.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5083"/>
            <w:vAlign w:val="top"/>
          </w:tcPr>
          <w:p>
            <w:r>
              <w:t>Use the final SayNoToPlastic.com home URL.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Social share image</w:t>
            </w:r>
          </w:p>
        </w:tc>
        <w:tc>
          <w:tcPr>
            <w:tcW w:type="dxa" w:w="5083"/>
            <w:vAlign w:val="top"/>
          </w:tcPr>
          <w:p>
            <w:r>
              <w:t>Create a clean 1200 x 630 px asset using the approved hero visual and minimal live-safe title treatment.</w:t>
            </w:r>
          </w:p>
        </w:tc>
      </w:tr>
      <w:tr>
        <w:tc>
          <w:tcPr>
            <w:tcW w:type="dxa" w:w="5083"/>
            <w:vAlign w:val="top"/>
            <w:shd w:fill="EEE8DC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5083"/>
            <w:vAlign w:val="top"/>
          </w:tcPr>
          <w:p>
            <w:r>
              <w:t>Organization and Person schema; add Book and VideoObject schema on appropriate pages.</w:t>
            </w:r>
          </w:p>
        </w:tc>
      </w:tr>
    </w:tbl>
    <w:p/>
    <w:p>
      <w:pPr>
        <w:pStyle w:val="Heading1X"/>
      </w:pPr>
      <w:r>
        <w:t>10. Complete this pre-design checklist before building Section 1</w:t>
      </w:r>
    </w:p>
    <w:p>
      <w:pPr>
        <w:pStyle w:val="ListBullet"/>
      </w:pPr>
      <w:r>
        <w:t>All global colors are saved as Wix design tokens.</w:t>
      </w:r>
    </w:p>
    <w:p>
      <w:pPr>
        <w:pStyle w:val="ListBullet"/>
      </w:pPr>
      <w:r>
        <w:t>All text styles are saved and named.</w:t>
      </w:r>
    </w:p>
    <w:p>
      <w:pPr>
        <w:pStyle w:val="ListBullet"/>
      </w:pPr>
      <w:r>
        <w:t>Desktop, tablet, and mobile breakpoints are configured.</w:t>
      </w:r>
    </w:p>
    <w:p>
      <w:pPr>
        <w:pStyle w:val="ListBullet"/>
      </w:pPr>
      <w:r>
        <w:t>The 12/8/4-column grid is established.</w:t>
      </w:r>
    </w:p>
    <w:p>
      <w:pPr>
        <w:pStyle w:val="ListBullet"/>
      </w:pPr>
      <w:r>
        <w:t>Primary and secondary button components are complete.</w:t>
      </w:r>
    </w:p>
    <w:p>
      <w:pPr>
        <w:pStyle w:val="ListBullet"/>
      </w:pPr>
      <w:r>
        <w:t>Form field and card components are complete.</w:t>
      </w:r>
    </w:p>
    <w:p>
      <w:pPr>
        <w:pStyle w:val="ListBullet"/>
      </w:pPr>
      <w:r>
        <w:t>The sticky global header is functional.</w:t>
      </w:r>
    </w:p>
    <w:p>
      <w:pPr>
        <w:pStyle w:val="ListBullet"/>
      </w:pPr>
      <w:r>
        <w:t>The mobile menu is functional.</w:t>
      </w:r>
    </w:p>
    <w:p>
      <w:pPr>
        <w:pStyle w:val="ListBullet"/>
      </w:pPr>
      <w:r>
        <w:t>All approved images are uploaded with consistent filenames.</w:t>
      </w:r>
    </w:p>
    <w:p>
      <w:pPr>
        <w:pStyle w:val="ListBullet"/>
      </w:pPr>
      <w:r>
        <w:t>Desktop and mobile crops are prepared.</w:t>
      </w:r>
    </w:p>
    <w:p>
      <w:pPr>
        <w:pStyle w:val="ListBullet"/>
      </w:pPr>
      <w:r>
        <w:t>Privacy, Terms, and Contact placeholder pages exist.</w:t>
      </w:r>
    </w:p>
    <w:p>
      <w:pPr>
        <w:pStyle w:val="ListBullet"/>
      </w:pPr>
      <w:r>
        <w:t>No Wix template placeholders remain.</w:t>
      </w:r>
    </w:p>
    <w:p>
      <w:pPr>
        <w:pStyle w:val="Heading2X"/>
      </w:pPr>
      <w:r>
        <w:t>Designer approval gate</w:t>
      </w:r>
    </w:p>
    <w:p>
      <w:r>
        <w:rPr>
          <w:b w:val="0"/>
        </w:rPr>
        <w:t>Do not proceed to the landing-page hero until the global design tokens, responsive grid, navigation, components, image strategy, accessibility baseline, and page structure above are implemented and reviewed.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160" w:after="100"/>
    </w:pPr>
    <w:rPr>
      <w:rFonts w:ascii="Arial" w:hAnsi="Arial"/>
      <w:b/>
      <w:color w:val="09121F"/>
      <w:sz w:val="52"/>
    </w:rPr>
  </w:style>
  <w:style w:type="paragraph" w:customStyle="1" w:styleId="Heading1X">
    <w:name w:val="Heading1X"/>
    <w:pPr>
      <w:spacing w:before="160" w:after="100"/>
    </w:pPr>
    <w:rPr>
      <w:rFonts w:ascii="Arial" w:hAnsi="Arial"/>
      <w:b/>
      <w:color w:val="09121F"/>
      <w:sz w:val="40"/>
    </w:rPr>
  </w:style>
  <w:style w:type="paragraph" w:customStyle="1" w:styleId="Heading2X">
    <w:name w:val="Heading2X"/>
    <w:pPr>
      <w:spacing w:before="160" w:after="100"/>
    </w:pPr>
    <w:rPr>
      <w:rFonts w:ascii="Arial" w:hAnsi="Arial"/>
      <w:b/>
      <w:color w:val="B4823A"/>
      <w:sz w:val="28"/>
    </w:rPr>
  </w:style>
  <w:style w:type="paragraph" w:customStyle="1" w:styleId="Heading3X">
    <w:name w:val="Heading3X"/>
    <w:pPr>
      <w:spacing w:before="160" w:after="100"/>
    </w:pPr>
    <w:rPr>
      <w:rFonts w:ascii="Arial" w:hAnsi="Arial"/>
      <w:b/>
      <w:color w:val="09121F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