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EC101 费用运营平台产品使用说明书</w:t>
      </w:r>
    </w:p>
    <w:p>
      <w:pPr>
        <w:spacing w:after="320"/>
      </w:pPr>
      <w:r>
        <w:rPr>
          <w:color w:val="595959"/>
          <w:sz w:val="24"/>
        </w:rPr>
        <w:t>标准数据转换 导入 核算与结果查询</w:t>
      </w:r>
    </w:p>
    <w:p>
      <w:r>
        <w:rPr>
          <w:b/>
        </w:rPr>
        <w:t xml:space="preserve">适用版本  </w:t>
      </w:r>
      <w:r>
        <w:t>首期 Windows 转换工具与费用平台导入流程</w:t>
        <w:br/>
      </w:r>
      <w:r>
        <w:rPr>
          <w:b/>
        </w:rPr>
        <w:t xml:space="preserve">适用对象  </w:t>
      </w:r>
      <w:r>
        <w:t>经销商业务人员、费用运营人员、数据管理员</w:t>
      </w:r>
    </w:p>
    <w:p>
      <w:r>
        <w:t>本说明书用于指导业务人员将快马、舟谱等平台导出的源文件转换为 EC101 标准数据，并上传至费用运营平台完成校验、导入和自动核算。系统不要求业务人员直接操作数据库；原始文件以 sources.zip 形式归档，平台数据库保存标准业务事实、核算结果和导入审计信息。</w:t>
      </w:r>
    </w:p>
    <w:p>
      <w:pPr>
        <w:pStyle w:val="Heading1"/>
        <w:keepNext/>
      </w:pPr>
      <w:r>
        <w:t>一 产品概览</w:t>
      </w:r>
    </w:p>
    <w:p>
      <w:r>
        <w:t>EC101 首期采用“平台转换器 + 标准 Excel + 费用平台导入”的工作方式。不同平台的字段差异由转换器处理，费用平台只接收固定格式的标准 Excel，因此业务人员不需要了解各平台的原始字段结构。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584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172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/>
                <w:color w:val="FFFFFF"/>
                <w:sz w:val="18"/>
              </w:rPr>
              <w:t>使用者</w:t>
            </w:r>
          </w:p>
        </w:tc>
        <w:tc>
          <w:tcPr>
            <w:tcW w:type="dxa" w:w="4320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/>
                <w:color w:val="FFFFFF"/>
                <w:sz w:val="18"/>
              </w:rPr>
              <w:t>主要操作</w:t>
            </w:r>
          </w:p>
        </w:tc>
        <w:tc>
          <w:tcPr>
            <w:tcW w:type="dxa" w:w="244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源数据准备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业务人员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从快马或舟谱下载指定期间的数据文件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平台源文件</w:t>
            </w:r>
          </w:p>
        </w:tc>
      </w:tr>
      <w:tr>
        <w:tc>
          <w:tcPr>
            <w:tcW w:type="dxa" w:w="158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数据转换</w:t>
            </w:r>
          </w:p>
        </w:tc>
        <w:tc>
          <w:tcPr>
            <w:tcW w:type="dxa" w:w="1728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业务人员</w:t>
            </w:r>
          </w:p>
        </w:tc>
        <w:tc>
          <w:tcPr>
            <w:tcW w:type="dxa" w:w="4320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在 Windows 工具中选择平台、经销商和源文件</w:t>
            </w:r>
          </w:p>
        </w:tc>
        <w:tc>
          <w:tcPr>
            <w:tcW w:type="dxa" w:w="2448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standard.xlsx、sources.zip、转换报告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平台导入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费用运营人员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上传标准 Excel 和原始文件归档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导入批次与校验结果</w:t>
            </w:r>
          </w:p>
        </w:tc>
      </w:tr>
      <w:tr>
        <w:tc>
          <w:tcPr>
            <w:tcW w:type="dxa" w:w="158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自动核算</w:t>
            </w:r>
          </w:p>
        </w:tc>
        <w:tc>
          <w:tcPr>
            <w:tcW w:type="dxa" w:w="1728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系统</w:t>
            </w:r>
          </w:p>
        </w:tc>
        <w:tc>
          <w:tcPr>
            <w:tcW w:type="dxa" w:w="4320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分别汇总活动优惠与优惠券优惠</w:t>
            </w:r>
          </w:p>
        </w:tc>
        <w:tc>
          <w:tcPr>
            <w:tcW w:type="dxa" w:w="2448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核算批次、订单权益和质量问题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结果查看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费用运营人员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查看活动、订单、异常和结算候选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费用运营工作台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二 使用前准备</w:t>
      </w:r>
    </w:p>
    <w:p>
      <w:pPr>
        <w:pStyle w:val="Heading2"/>
        <w:keepNext/>
      </w:pPr>
      <w:r>
        <w:t>2.1 文件准备</w:t>
      </w:r>
    </w:p>
    <w:p>
      <w:pPr>
        <w:pStyle w:val="ListBullet"/>
        <w:spacing w:after="60"/>
      </w:pPr>
      <w:r>
        <w:t>确认经销商名称、平台名称和数据覆盖期间。一次导入对应一个经销商、一个平台和一个完整期间。</w:t>
      </w:r>
    </w:p>
    <w:p>
      <w:pPr>
        <w:pStyle w:val="ListBullet"/>
        <w:spacing w:after="60"/>
      </w:pPr>
      <w:r>
        <w:t>从平台重新下载源文件时，尽量保留原始文件名，不要在 Excel 中手工改动编号、单号和券号。</w:t>
      </w:r>
    </w:p>
    <w:p>
      <w:pPr>
        <w:pStyle w:val="ListBullet"/>
        <w:spacing w:after="60"/>
      </w:pPr>
      <w:r>
        <w:t>活动配置和优惠券配置如不在平台明细中提供，需要在转换工具中按业务确认结果录入。活动和优惠券分别配置，不能用活动编号替代优惠券编号。</w:t>
      </w:r>
    </w:p>
    <w:p>
      <w:pPr>
        <w:pStyle w:val="ListBullet"/>
        <w:spacing w:after="60"/>
      </w:pPr>
      <w:r>
        <w:t>建议将同一批次源文件放在独立文件夹中，便于转换工具打包 sources.zip 并在后续核查时追溯。</w:t>
      </w:r>
    </w:p>
    <w:p>
      <w:pPr>
        <w:pStyle w:val="Heading2"/>
        <w:keepNext/>
      </w:pPr>
      <w:r>
        <w:t>2.2 Windows 工具</w:t>
      </w:r>
    </w:p>
    <w:p>
      <w:r>
        <w:t>首期桌面工具为 Windows 可执行程序。业务人员无需安装 Python；双击 EC101StandardConverter.exe 即可使用。工具生成的 standard.xlsx 是唯一可上传的数据文件，sources.zip 用于保留原始文件证据。</w:t>
      </w:r>
    </w:p>
    <w:p>
      <w:pPr>
        <w:pStyle w:val="Heading1"/>
        <w:keepNext/>
      </w:pPr>
      <w:r>
        <w:t>三 使用 Windows 转换工具</w:t>
      </w:r>
    </w:p>
    <w:p>
      <w:pPr>
        <w:spacing w:after="80"/>
        <w:ind w:left="173"/>
      </w:pPr>
      <w:r>
        <w:rPr>
          <w:b/>
        </w:rPr>
        <w:t xml:space="preserve">1.  </w:t>
      </w:r>
      <w:r>
        <w:t>双击打开 EC101StandardConverter.exe。首次使用时确认输出目录可写。</w:t>
      </w:r>
    </w:p>
    <w:p>
      <w:pPr>
        <w:spacing w:after="80"/>
        <w:ind w:left="173"/>
      </w:pPr>
      <w:r>
        <w:rPr>
          <w:b/>
        </w:rPr>
        <w:t xml:space="preserve">2.  </w:t>
      </w:r>
      <w:r>
        <w:t>在“平台”中选择“快马”或“舟谱”，在“经销商”中输入标准名称。</w:t>
      </w:r>
    </w:p>
    <w:p>
      <w:pPr>
        <w:spacing w:after="80"/>
        <w:ind w:left="173"/>
      </w:pPr>
      <w:r>
        <w:rPr>
          <w:b/>
        </w:rPr>
        <w:t xml:space="preserve">3.  </w:t>
      </w:r>
      <w:r>
        <w:t>分别选择客户、商品、订单、活动、优惠券和履约源文件。没有对应文件时可以留空，但订单导入至少需要客户、商品和订单明细。</w:t>
      </w:r>
    </w:p>
    <w:p>
      <w:pPr>
        <w:spacing w:after="80"/>
        <w:ind w:left="173"/>
      </w:pPr>
      <w:r>
        <w:rPr>
          <w:b/>
        </w:rPr>
        <w:t xml:space="preserve">4.  </w:t>
      </w:r>
      <w:r>
        <w:t>选择输出目录。建议每次转换使用新的批次目录，例如“经销商_平台_202601”。</w:t>
      </w:r>
    </w:p>
    <w:p>
      <w:pPr>
        <w:spacing w:after="80"/>
        <w:ind w:left="173"/>
      </w:pPr>
      <w:r>
        <w:rPr>
          <w:b/>
        </w:rPr>
        <w:t xml:space="preserve">5.  </w:t>
      </w:r>
      <w:r>
        <w:t>点击“开始转换”，等待状态变为“转换完成”。转换失败时根据弹窗提示补齐文件或修正源数据后重新转换。</w:t>
      </w:r>
    </w:p>
    <w:p>
      <w:pPr>
        <w:spacing w:after="80"/>
        <w:ind w:left="173"/>
      </w:pPr>
      <w:r>
        <w:rPr>
          <w:b/>
        </w:rPr>
        <w:t xml:space="preserve">6.  </w:t>
      </w:r>
      <w:r>
        <w:t>检查输出目录中的 standard.xlsx、sources.zip 和 conversion_report.txt。确认报告中没有错误，再进入费用平台上传。</w:t>
      </w:r>
    </w:p>
    <w:p>
      <w:pPr>
        <w:pStyle w:val="Heading2"/>
        <w:keepNext/>
      </w:pPr>
      <w:r>
        <w:t>3.1 转换结果说明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448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760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872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/>
                <w:color w:val="FFFFFF"/>
                <w:sz w:val="18"/>
              </w:rPr>
              <w:t>是否上传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standard.xlsx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固定 15 张标准数据工作表，供费用平台解析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必须</w:t>
            </w:r>
          </w:p>
        </w:tc>
      </w:tr>
      <w:tr>
        <w:tc>
          <w:tcPr>
            <w:tcW w:type="dxa" w:w="2448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sources.zip</w:t>
            </w:r>
          </w:p>
        </w:tc>
        <w:tc>
          <w:tcPr>
            <w:tcW w:type="dxa" w:w="5760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原始平台文件归档，便于审计和重转换</w:t>
            </w:r>
          </w:p>
        </w:tc>
        <w:tc>
          <w:tcPr>
            <w:tcW w:type="dxa" w:w="187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建议一并上传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conversion_report.txt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记录转换平台、源文件摘要和数量统计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业务留存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四 标准 Excel 内容</w:t>
      </w:r>
    </w:p>
    <w:p>
      <w:r>
        <w:t>标准 Excel 固定包含以下 15 张工作表。即使本批次没有数据，也保留工作表和表头。编号、单号和优惠券编号按文本处理，避免出现科学计数法或前导零丢失。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232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/>
                <w:color w:val="FFFFFF"/>
                <w:sz w:val="18"/>
              </w:rPr>
              <w:t>工作表</w:t>
            </w:r>
          </w:p>
        </w:tc>
        <w:tc>
          <w:tcPr>
            <w:tcW w:type="dxa" w:w="6624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/>
                <w:color w:val="FFFFFF"/>
                <w:sz w:val="18"/>
              </w:rPr>
              <w:t>主要字段</w:t>
            </w:r>
          </w:p>
        </w:tc>
        <w:tc>
          <w:tcPr>
            <w:tcW w:type="dxa" w:w="1584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导入清单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模板版本、转换工具版本、经销商、平台、覆盖期间、生成时间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每批次</w:t>
            </w:r>
          </w:p>
        </w:tc>
      </w:tr>
      <w:tr>
        <w:tc>
          <w:tcPr>
            <w:tcW w:type="dxa" w:w="223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标准客户</w:t>
            </w:r>
          </w:p>
        </w:tc>
        <w:tc>
          <w:tcPr>
            <w:tcW w:type="dxa" w:w="662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客户编号、客户名称、客户类型、客户区域、地址、电话、添加时间、业务员</w:t>
            </w:r>
          </w:p>
        </w:tc>
        <w:tc>
          <w:tcPr>
            <w:tcW w:type="dxa" w:w="158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主数据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标准商品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商品编号、名称、品牌、目录、条码、规格、基本单位、箱规、每箱基本单位数量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主数据</w:t>
            </w:r>
          </w:p>
        </w:tc>
      </w:tr>
      <w:tr>
        <w:tc>
          <w:tcPr>
            <w:tcW w:type="dxa" w:w="223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标准订单明细</w:t>
            </w:r>
          </w:p>
        </w:tc>
        <w:tc>
          <w:tcPr>
            <w:tcW w:type="dxa" w:w="662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订单、客户、商品、数量、金额、活动编号、优惠券编号、业务员、状态、支付方式等</w:t>
            </w:r>
          </w:p>
        </w:tc>
        <w:tc>
          <w:tcPr>
            <w:tcW w:type="dxa" w:w="158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交易事实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标准活动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活动基本配置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活动配置</w:t>
            </w:r>
          </w:p>
        </w:tc>
      </w:tr>
      <w:tr>
        <w:tc>
          <w:tcPr>
            <w:tcW w:type="dxa" w:w="223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标准活动规则</w:t>
            </w:r>
          </w:p>
        </w:tc>
        <w:tc>
          <w:tcPr>
            <w:tcW w:type="dxa" w:w="662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门槛、立减、免邮规则</w:t>
            </w:r>
          </w:p>
        </w:tc>
        <w:tc>
          <w:tcPr>
            <w:tcW w:type="dxa" w:w="158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活动配置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标准活动权益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赠品或权益内容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活动配置</w:t>
            </w:r>
          </w:p>
        </w:tc>
      </w:tr>
      <w:tr>
        <w:tc>
          <w:tcPr>
            <w:tcW w:type="dxa" w:w="223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标准活动范围</w:t>
            </w:r>
          </w:p>
        </w:tc>
        <w:tc>
          <w:tcPr>
            <w:tcW w:type="dxa" w:w="662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活动适用客户、商品或区域范围</w:t>
            </w:r>
          </w:p>
        </w:tc>
        <w:tc>
          <w:tcPr>
            <w:tcW w:type="dxa" w:w="158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活动配置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标准活动核销明细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活动、客户、订单、商品总金额、优惠金额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活动执行</w:t>
            </w:r>
          </w:p>
        </w:tc>
      </w:tr>
      <w:tr>
        <w:tc>
          <w:tcPr>
            <w:tcW w:type="dxa" w:w="223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标准优惠券配置</w:t>
            </w:r>
          </w:p>
        </w:tc>
        <w:tc>
          <w:tcPr>
            <w:tcW w:type="dxa" w:w="662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优惠券配置编号、名称、类型、状态</w:t>
            </w:r>
          </w:p>
        </w:tc>
        <w:tc>
          <w:tcPr>
            <w:tcW w:type="dxa" w:w="158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优惠券配置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标准优惠券发放规则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发放方式、发放期间、领取上限、规则状态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优惠券配置</w:t>
            </w:r>
          </w:p>
        </w:tc>
      </w:tr>
      <w:tr>
        <w:tc>
          <w:tcPr>
            <w:tcW w:type="dxa" w:w="223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标准优惠券使用规则</w:t>
            </w:r>
          </w:p>
        </w:tc>
        <w:tc>
          <w:tcPr>
            <w:tcW w:type="dxa" w:w="662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有效期、使用次数、使用时间、规则状态</w:t>
            </w:r>
          </w:p>
        </w:tc>
        <w:tc>
          <w:tcPr>
            <w:tcW w:type="dxa" w:w="158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优惠券配置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标准优惠券适用范围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优惠券适用客户、商品或区域范围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优惠券配置</w:t>
            </w:r>
          </w:p>
        </w:tc>
      </w:tr>
      <w:tr>
        <w:tc>
          <w:tcPr>
            <w:tcW w:type="dxa" w:w="223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标准优惠券核销明细</w:t>
            </w:r>
          </w:p>
        </w:tc>
        <w:tc>
          <w:tcPr>
            <w:tcW w:type="dxa" w:w="662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优惠券编号、客户、领取时间、使用期限、订单号、优惠金额</w:t>
            </w:r>
          </w:p>
        </w:tc>
        <w:tc>
          <w:tcPr>
            <w:tcW w:type="dxa" w:w="158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优惠券执行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标准履约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单据编号、下游订单编号、履约状态、出库、完成、结款、退货数量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履约事实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五 在费用平台导入标准数据</w:t>
      </w:r>
    </w:p>
    <w:p>
      <w:pPr>
        <w:spacing w:after="80"/>
        <w:ind w:left="173"/>
      </w:pPr>
      <w:r>
        <w:rPr>
          <w:b/>
        </w:rPr>
        <w:t xml:space="preserve">1.  </w:t>
      </w:r>
      <w:r>
        <w:t>启动费用运营平台，进入左侧“数据底座”下的“数据接入”。</w:t>
      </w:r>
    </w:p>
    <w:p>
      <w:pPr>
        <w:spacing w:after="80"/>
        <w:ind w:left="173"/>
      </w:pPr>
      <w:r>
        <w:rPr>
          <w:b/>
        </w:rPr>
        <w:t xml:space="preserve">2.  </w:t>
      </w:r>
      <w:r>
        <w:t>点击“标准数据 Excel”选择转换工具生成的 standard.xlsx。</w:t>
      </w:r>
    </w:p>
    <w:p>
      <w:pPr>
        <w:spacing w:after="80"/>
        <w:ind w:left="173"/>
      </w:pPr>
      <w:r>
        <w:rPr>
          <w:b/>
        </w:rPr>
        <w:t xml:space="preserve">3.  </w:t>
      </w:r>
      <w:r>
        <w:t>在“原始文件归档”中选择 sources.zip。建议上传归档，以便后续核查来源；没有归档时仍可提交标准 Excel。</w:t>
      </w:r>
    </w:p>
    <w:p>
      <w:pPr>
        <w:spacing w:after="80"/>
        <w:ind w:left="173"/>
      </w:pPr>
      <w:r>
        <w:rPr>
          <w:b/>
        </w:rPr>
        <w:t xml:space="preserve">4.  </w:t>
      </w:r>
      <w:r>
        <w:t>点击“开始导入”。页面会显示导入状态；导入成功后系统自动生成核算结果。</w:t>
      </w:r>
    </w:p>
    <w:p>
      <w:pPr>
        <w:spacing w:after="80"/>
        <w:ind w:left="173"/>
      </w:pPr>
      <w:r>
        <w:rPr>
          <w:b/>
        </w:rPr>
        <w:t xml:space="preserve">5.  </w:t>
      </w:r>
      <w:r>
        <w:t>成功提示会返回导入批次编号。记录该编号，用于后续问题反馈和历史批次查询。</w:t>
      </w:r>
    </w:p>
    <w:p>
      <w:pPr>
        <w:pStyle w:val="Heading2"/>
        <w:keepNext/>
      </w:pPr>
      <w:r>
        <w:t>5.1 导入状态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72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472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024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导入中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系统正在校验并写入当前批次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等待完成，不要重复提交</w:t>
            </w:r>
          </w:p>
        </w:tc>
      </w:tr>
      <w:tr>
        <w:tc>
          <w:tcPr>
            <w:tcW w:type="dxa" w:w="187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校验失败</w:t>
            </w:r>
          </w:p>
        </w:tc>
        <w:tc>
          <w:tcPr>
            <w:tcW w:type="dxa" w:w="547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发现必填字段、重复键或跨表关联错误</w:t>
            </w:r>
          </w:p>
        </w:tc>
        <w:tc>
          <w:tcPr>
            <w:tcW w:type="dxa" w:w="302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下载或查看错误信息，修正源文件后重新转换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已核算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标准数据已落库，活动和优惠券优惠已分别计算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进入活动中心、证据与异常或核销与对账查看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六 费用与促销结果查看</w:t>
      </w:r>
    </w:p>
    <w:p>
      <w:pPr>
        <w:pStyle w:val="Heading2"/>
        <w:keepNext/>
      </w:pPr>
      <w:r>
        <w:t>6.1 活动中心</w:t>
      </w:r>
    </w:p>
    <w:p>
      <w:r>
        <w:t>活动中心展示活动配置、活动执行和核算结果。金额型活动以优惠金额展示，赠品型活动以应赠数量和实赠数量展示。活动是否走 TPM 不影响标准数据导入。</w:t>
      </w:r>
    </w:p>
    <w:p>
      <w:pPr>
        <w:pStyle w:val="Heading2"/>
        <w:keepNext/>
      </w:pPr>
      <w:r>
        <w:t>6.2 证据与异常</w:t>
      </w:r>
    </w:p>
    <w:p>
      <w:r>
        <w:t>当订单、客户、商品、活动或优惠券之间存在缺失关联时，系统会生成质量问题。警告类问题会阻止进入可提交结算候选，提示类问题需要业务确认。</w:t>
      </w:r>
    </w:p>
    <w:p>
      <w:pPr>
        <w:pStyle w:val="Heading2"/>
        <w:keepNext/>
      </w:pPr>
      <w:r>
        <w:t>6.3 核销与对账</w:t>
      </w:r>
    </w:p>
    <w:p>
      <w:r>
        <w:t>可提交金额只来自已通过核验的金额型活动。赠品活动保留数量，不在缺少单位成本时折算成人民币。</w:t>
      </w:r>
    </w:p>
    <w:p>
      <w:pPr>
        <w:pStyle w:val="Heading2"/>
        <w:keepNext/>
      </w:pPr>
      <w:r>
        <w:t>6.4 活动与优惠券的关系</w:t>
      </w:r>
    </w:p>
    <w:p>
      <w:r>
        <w:t>同一订单可以同时参与活动并使用优惠券，但两者分别核销：订单连接活动核销明细和优惠券核销明细，系统先分别计算活动优惠与券优惠，再在结果层汇总，不使用活动编号关联优惠券。</w:t>
      </w:r>
    </w:p>
    <w:p>
      <w:pPr>
        <w:pStyle w:val="Heading1"/>
        <w:keepNext/>
      </w:pPr>
      <w:r>
        <w:t>七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456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912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5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为什么不能直接上传平台原始文件？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平台只接收固定标准 Excel。不同平台的字段含义和文件结构不同，先转换可以把差异集中在转换器中，避免费用平台为每个平台维护一套导入逻辑。</w:t>
            </w:r>
          </w:p>
        </w:tc>
      </w:tr>
      <w:tr>
        <w:tc>
          <w:tcPr>
            <w:tcW w:type="dxa" w:w="3456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数据库是否保存原始数据？</w:t>
            </w:r>
          </w:p>
        </w:tc>
        <w:tc>
          <w:tcPr>
            <w:tcW w:type="dxa" w:w="691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不保存原始平台数据的逐行表。系统保存上传归档的路径、哈希和文件大小；sources.zip 本身用于审计和必要时重转换。</w:t>
            </w:r>
          </w:p>
        </w:tc>
      </w:tr>
      <w:tr>
        <w:tc>
          <w:tcPr>
            <w:tcW w:type="dxa" w:w="345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舟谱没有下游订单编号怎么办？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下游订单编号允许为空。履约状态和订单号仍可导入，后续补数时再重新生成标准文件。</w:t>
            </w:r>
          </w:p>
        </w:tc>
      </w:tr>
      <w:tr>
        <w:tc>
          <w:tcPr>
            <w:tcW w:type="dxa" w:w="3456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同一订单既有活动又有优惠券，优惠会重复计算吗？</w:t>
            </w:r>
          </w:p>
        </w:tc>
        <w:tc>
          <w:tcPr>
            <w:tcW w:type="dxa" w:w="691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不会。活动核销与优惠券核销分别计算，订单总优惠只在结果层相加。</w:t>
            </w:r>
          </w:p>
        </w:tc>
      </w:tr>
      <w:tr>
        <w:tc>
          <w:tcPr>
            <w:tcW w:type="dxa" w:w="345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导入失败后会不会影响上一批数据？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不会。导入按批次事务处理，当前批次失败会整体回滚，上一批当前版本保持不变。</w:t>
            </w:r>
          </w:p>
        </w:tc>
      </w:tr>
      <w:tr>
        <w:tc>
          <w:tcPr>
            <w:tcW w:type="dxa" w:w="3456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转换失败后应该怎么处理？</w:t>
            </w:r>
          </w:p>
        </w:tc>
        <w:tc>
          <w:tcPr>
            <w:tcW w:type="dxa" w:w="691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先查看弹窗和 conversion_report.txt，确认必需源文件、表头和输出目录，再重新选择文件转换。不要手工修改标准 Excel 的表头。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八 业务操作检查清单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8784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584"/>
            <w:vAlign w:val="center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/>
                <w:color w:val="FFFFFF"/>
                <w:sz w:val="18"/>
              </w:rPr>
              <w:t>完成</w:t>
            </w:r>
          </w:p>
        </w:tc>
      </w:tr>
      <w:tr>
        <w:tc>
          <w:tcPr>
            <w:tcW w:type="dxa" w:w="87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已确认经销商、平台和数据覆盖期间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878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已下载客户、商品、订单及必要的活动、优惠券、履约文件</w:t>
            </w:r>
          </w:p>
        </w:tc>
        <w:tc>
          <w:tcPr>
            <w:tcW w:type="dxa" w:w="158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87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已使用正确的平台转换器生成 standard.xlsx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878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已检查转换报告，没有阻断性错误</w:t>
            </w:r>
          </w:p>
        </w:tc>
        <w:tc>
          <w:tcPr>
            <w:tcW w:type="dxa" w:w="158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87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已保留并上传 sources.zip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878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平台导入状态为已核算</w:t>
            </w:r>
          </w:p>
        </w:tc>
        <w:tc>
          <w:tcPr>
            <w:tcW w:type="dxa" w:w="158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87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已处理导入错误或质量异常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□</w:t>
            </w:r>
          </w:p>
        </w:tc>
      </w:tr>
      <w:tr>
        <w:tc>
          <w:tcPr>
            <w:tcW w:type="dxa" w:w="878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已确认金额活动和赠品活动的结果口径</w:t>
            </w:r>
          </w:p>
        </w:tc>
        <w:tc>
          <w:tcPr>
            <w:tcW w:type="dxa" w:w="158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/>
            <w:r>
              <w:rPr>
                <w:rFonts w:ascii="Heiti TC" w:hAnsi="Heiti TC" w:eastAsia="Heiti TC"/>
                <w:b w:val="0"/>
                <w:color w:val="000000"/>
                <w:sz w:val="18"/>
              </w:rPr>
              <w:t>□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EC101 费用运营平台产品使用说明书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Heiti TC" w:hAnsi="Heiti TC" w:eastAsia="Heiti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TC" w:hAnsi="Heiti TC" w:eastAsia="Heiti T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TC" w:hAnsi="Heiti TC" w:eastAsia="Heiti T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TC" w:hAnsi="Heiti TC" w:eastAsia="Heiti T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TC" w:hAnsi="Heiti TC" w:eastAsia="Heiti T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