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Cover</w:t>
      </w:r>
      <w:r>
        <w:t xml:space="preserve"> </w:t>
      </w:r>
      <w:r>
        <w:t xml:space="preserve">Letter</w:t>
      </w:r>
      <w:r>
        <w:t xml:space="preserve"> </w:t>
      </w:r>
      <w:r>
        <w:t xml:space="preserve">—</w:t>
      </w:r>
      <w:r>
        <w:t xml:space="preserve"> </w:t>
      </w:r>
      <w:r>
        <w:t xml:space="preserve">Matters</w:t>
      </w:r>
      <w:r>
        <w:t xml:space="preserve"> </w:t>
      </w:r>
      <w:r>
        <w:t xml:space="preserve">Arising</w:t>
      </w:r>
      <w:r>
        <w:t xml:space="preserve"> </w:t>
      </w:r>
      <w:r>
        <w:t xml:space="preserve">submission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are writing to submit our manuscript,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Pan-cancer equiprevalence cannot distinguish contaminants from cross-cancer microbiota,</w:t>
      </w:r>
      <w:r>
        <w:rPr>
          <w:b/>
        </w:rPr>
        <w:t xml:space="preserve">”</w:t>
      </w:r>
      <w:r>
        <w:t xml:space="preserve"> </w:t>
      </w:r>
      <w:r>
        <w:t xml:space="preserve">for consideration as a</w:t>
      </w:r>
      <w:r>
        <w:t xml:space="preserve"> </w:t>
      </w:r>
      <w:r>
        <w:rPr>
          <w:i/>
        </w:rPr>
        <w:t xml:space="preserve">Matters Arising</w:t>
      </w:r>
      <w:r>
        <w:t xml:space="preserve"> </w:t>
      </w:r>
      <w:r>
        <w:t xml:space="preserve">on Dohlman et al.,</w:t>
      </w:r>
      <w:r>
        <w:t xml:space="preserve"> </w:t>
      </w:r>
      <w:r>
        <w:rPr>
          <w:i/>
        </w:rPr>
        <w:t xml:space="preserve">Cell</w:t>
      </w:r>
      <w:r>
        <w:t xml:space="preserve"> </w:t>
      </w:r>
      <w:r>
        <w:t xml:space="preserve">189, 1–21 (June 11, 2026; doi: 10.1016/j.cell.2026.04.015). The submission is well within the three-month</w:t>
      </w:r>
      <w:r>
        <w:t xml:space="preserve"> </w:t>
      </w:r>
      <w:r>
        <w:rPr>
          <w:i/>
        </w:rPr>
        <w:t xml:space="preserve">Matters Arising</w:t>
      </w:r>
      <w:r>
        <w:t xml:space="preserve"> </w:t>
      </w:r>
      <w:r>
        <w:t xml:space="preserve">window.</w:t>
      </w:r>
    </w:p>
    <w:p>
      <w:pPr>
        <w:pStyle w:val="BodyText"/>
      </w:pPr>
      <w:r>
        <w:t xml:space="preserve">The Dohlman et al. study is an important contribution: PathSeq–T2T, with its complete telomere-to-telomere reference, is the most rigorous host-subtraction pipeline yet applied at pan-cancer scale, and the resulting orodigestive findings — multi-kingdom communities, anatomic biogeography, and the</w:t>
      </w:r>
      <w:r>
        <w:t xml:space="preserve"> </w:t>
      </w:r>
      <w:r>
        <w:rPr>
          <w:i/>
        </w:rPr>
        <w:t xml:space="preserve">Fusobacterium nucleatum</w:t>
      </w:r>
      <w:r>
        <w:t xml:space="preserve">–MSI association — are biologically valuable. The headline conclusion of the paper, however, is the</w:t>
      </w:r>
      <w:r>
        <w:t xml:space="preserve"> </w:t>
      </w:r>
      <w:r>
        <w:rPr>
          <w:i/>
        </w:rPr>
        <w:t xml:space="preserve">negative</w:t>
      </w:r>
      <w:r>
        <w:t xml:space="preserve"> </w:t>
      </w:r>
      <w:r>
        <w:t xml:space="preserve">one: that</w:t>
      </w:r>
      <w:r>
        <w:t xml:space="preserve"> </w:t>
      </w:r>
      <w:r>
        <w:t xml:space="preserve">“</w:t>
      </w:r>
      <w:r>
        <w:t xml:space="preserve">after decontamination, most cancer types lack microbiomes distinguishable from background.</w:t>
      </w:r>
      <w:r>
        <w:t xml:space="preserve">”</w:t>
      </w:r>
      <w:r>
        <w:t xml:space="preserve"> </w:t>
      </w:r>
      <w:r>
        <w:t xml:space="preserve">This claim, which directly contradicts several recent pan-cancer microbiome surveys, depends entirely on a single decontamination step — the Pan-Cancer Equiprevalence (PCE) score with a cutoff of 0.7 — and has immediate implications for how the field interprets prior work and designs future studies.</w:t>
      </w:r>
    </w:p>
    <w:p>
      <w:pPr>
        <w:pStyle w:val="BodyText"/>
      </w:pPr>
      <w:r>
        <w:t xml:space="preserve">In this submission we make two points that we believe constrain the strength of the negative conclusion without undermining the positive findings.</w:t>
      </w:r>
    </w:p>
    <w:p>
      <w:pPr>
        <w:pStyle w:val="BodyText"/>
      </w:pPr>
      <w:r>
        <w:rPr>
          <w:b/>
        </w:rPr>
        <w:t xml:space="preserve">First, the PCE score is mathematically unable to discriminate a true reagent contaminant from a microbe genuinely shared across cancer types.</w:t>
      </w:r>
      <w:r>
        <w:t xml:space="preserve"> </w:t>
      </w:r>
      <w:r>
        <w:t xml:space="preserve">Both produce uniform cross-cancer prevalence by definition. We demonstrate this by constructing a controlled simulation (27 cancer types, n = 15,371; four ground-truth species classes) and applying the published PCE method without modification. At the cutoff of 0.7,</w:t>
      </w:r>
      <w:r>
        <w:t xml:space="preserve"> </w:t>
      </w:r>
      <w:r>
        <w:rPr>
          <w:b/>
        </w:rPr>
        <w:t xml:space="preserve">100% of genuinely cross-cancer microbiota are flagged as contaminants — identical to the 100% true-contaminant rate</w:t>
      </w:r>
      <w:r>
        <w:t xml:space="preserve">, with median PCE values of 0.957 versus 0.955. The conclusion that</w:t>
      </w:r>
      <w:r>
        <w:t xml:space="preserve"> </w:t>
      </w:r>
      <w:r>
        <w:t xml:space="preserve">“</w:t>
      </w:r>
      <w:r>
        <w:t xml:space="preserve">non-orodigestive cancers lack a microbiome</w:t>
      </w:r>
      <w:r>
        <w:t xml:space="preserve">”</w:t>
      </w:r>
      <w:r>
        <w:t xml:space="preserve"> </w:t>
      </w:r>
      <w:r>
        <w:t xml:space="preserve">is therefore not falsifiable within the analytic framework as constructed.</w:t>
      </w:r>
    </w:p>
    <w:p>
      <w:pPr>
        <w:pStyle w:val="BodyText"/>
      </w:pPr>
      <w:r>
        <w:rPr>
          <w:b/>
        </w:rPr>
        <w:t xml:space="preserve">Second, the secondary finding that microbial load correlates with tumor mutation burden across orodigestive cancers does not generalize.</w:t>
      </w:r>
      <w:r>
        <w:t xml:space="preserve"> </w:t>
      </w:r>
      <w:r>
        <w:t xml:space="preserve">Using TCMA-decontaminated TCGA WXS microbiomes (n = 1,024) merged with ABSOLUTE-derived purity and MC3 mutation calls, we replicate the pooled trend in CRC and gastric cancer but find the direction</w:t>
      </w:r>
      <w:r>
        <w:t xml:space="preserve"> </w:t>
      </w:r>
      <w:r>
        <w:rPr>
          <w:i/>
        </w:rPr>
        <w:t xml:space="preserve">reverses</w:t>
      </w:r>
      <w:r>
        <w:t xml:space="preserve"> </w:t>
      </w:r>
      <w:r>
        <w:t xml:space="preserve">in esophageal and head-and-neck cancers. The remaining positive signal in CRC/gastric tumors is partly attributable to tumor purity, a shared denominator the original analysis did not include.</w:t>
      </w:r>
    </w:p>
    <w:p>
      <w:pPr>
        <w:pStyle w:val="BodyText"/>
      </w:pPr>
      <w:r>
        <w:t xml:space="preserve">We are not proposing that the orodigestive findings of Dohlman et al. are wrong; we are proposing that the decontamination algorithm is logically circular and that the claim of pan-cancer absence is artifactual. Because PCE has been adopted in adjacent work, an early correction matters for the field.</w:t>
      </w:r>
    </w:p>
    <w:p>
      <w:pPr>
        <w:pStyle w:val="BodyText"/>
      </w:pPr>
      <w:r>
        <w:t xml:space="preserve">We anticipate that this work will be of interest to</w:t>
      </w:r>
      <w:r>
        <w:t xml:space="preserve"> </w:t>
      </w:r>
      <w:r>
        <w:rPr>
          <w:i/>
        </w:rPr>
        <w:t xml:space="preserve">Cell</w:t>
      </w:r>
      <w:r>
        <w:t xml:space="preserve"> </w:t>
      </w:r>
      <w:r>
        <w:t xml:space="preserve">readers working on tumor microbiomes, low-biomass sequencing, and pan-cancer genomics. Suggested external referees are listed in the submission system; we respectfully request that the original authors and their immediate collaborators be excluded as reviewers, given the overlap with their other ongoing work.</w:t>
      </w:r>
    </w:p>
    <w:p>
      <w:pPr>
        <w:pStyle w:val="BodyText"/>
      </w:pPr>
      <w:r>
        <w:t xml:space="preserve">A preprint has been deposited at bioRxiv concurrently with this submission, in keeping with</w:t>
      </w:r>
      <w:r>
        <w:t xml:space="preserve"> </w:t>
      </w:r>
      <w:r>
        <w:rPr>
          <w:i/>
        </w:rPr>
        <w:t xml:space="preserve">Cell</w:t>
      </w:r>
      <w:r>
        <w:t xml:space="preserve">’s preprint policy. The work has not been submitted elsewhere. All authors have approved the submission and declare no competing interests. The full code, data-fetching scripts, and figures are publicly archived (Zenodo doi: 10.5281/zenodo.20622530).</w:t>
      </w:r>
    </w:p>
    <w:p>
      <w:pPr>
        <w:pStyle w:val="BodyText"/>
      </w:pPr>
      <w:r>
        <w:t xml:space="preserve">Thank you for considering this</w:t>
      </w:r>
      <w:r>
        <w:t xml:space="preserve"> </w:t>
      </w:r>
      <w:r>
        <w:rPr>
          <w:i/>
        </w:rPr>
        <w:t xml:space="preserve">Matters Arising</w:t>
      </w:r>
      <w:r>
        <w:t xml:space="preserve">. We would be glad to provide additional information or modifications as needed.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</w:rPr>
        <w:t xml:space="preserve">Jianying Pei, Ph.D.</w:t>
      </w:r>
      <w:r>
        <w:t xml:space="preserve"> </w:t>
      </w:r>
      <w:r>
        <w:t xml:space="preserve">(corresponding author)</w:t>
      </w:r>
      <w:r>
        <w:br w:type="textWrapping"/>
      </w:r>
      <w:r>
        <w:t xml:space="preserve">Clinical Laboratory Center, Gansu Provincial Maternity and Child-care Hospital, Lanzhou, China</w:t>
      </w:r>
      <w:r>
        <w:br w:type="textWrapping"/>
      </w:r>
      <w:r>
        <w:t xml:space="preserve">peijianying1989@163.com | ORCID: 0000-0003-0108-9230</w:t>
      </w:r>
    </w:p>
    <w:p>
      <w:pPr>
        <w:pStyle w:val="BodyText"/>
      </w:pPr>
      <w:r>
        <w:t xml:space="preserve">on behalf of:</w:t>
      </w:r>
    </w:p>
    <w:p>
      <w:pPr>
        <w:pStyle w:val="BodyText"/>
      </w:pPr>
      <w:r>
        <w:rPr>
          <w:b/>
        </w:rPr>
        <w:t xml:space="preserve">Yan Li</w:t>
      </w:r>
      <w:r>
        <w:t xml:space="preserve"> </w:t>
      </w:r>
      <w:r>
        <w:t xml:space="preserve">(first author)</w:t>
      </w:r>
      <w:r>
        <w:br w:type="textWrapping"/>
      </w:r>
      <w:r>
        <w:t xml:space="preserve">Department of Biochemistry and Molecular Biology, Medical College of Northwest Minzu University, Lanzhou, China</w:t>
      </w:r>
      <w:r>
        <w:br w:type="textWrapping"/>
      </w:r>
      <w:r>
        <w:t xml:space="preserve">290192798@xbmu.edu.cn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Matters Arising submission</dc:title>
  <dc:creator/>
  <cp:keywords/>
  <dcterms:created xsi:type="dcterms:W3CDTF">2026-06-11T06:48:51Z</dcterms:created>
  <dcterms:modified xsi:type="dcterms:W3CDTF">2026-06-11T06:48:51Z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