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tLeast" w:line="450" w:before="0" w:after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一招绝招判断股市阶段顶和阶段底：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br/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蓝色曲线（融资净买入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_MA20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）：代表融资客（通常被视为市场中最敏锐、风险偏好最高的资金）的短期情绪。数值为正表示净买入，为负表示净卖出。这是一个先行或同步指标。</w:t>
      </w:r>
    </w:p>
    <w:p>
      <w:pPr>
        <w:pStyle w:val="Normal"/>
        <w:widowControl/>
        <w:bidi w:val="0"/>
        <w:spacing w:lineRule="atLeast" w:line="450" w:before="0" w:after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黑色曲线（融资累计净买入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_2026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年以来）：代表今年以来融资资金总的净流入量。这是一个趋势指标，反映了杠杆资金整体的持仓水位。</w:t>
      </w:r>
    </w:p>
    <w:p>
      <w:pPr>
        <w:pStyle w:val="Normal"/>
        <w:widowControl/>
        <w:bidi w:val="0"/>
        <w:spacing w:lineRule="atLeast" w:line="450" w:before="0" w:after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在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3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月底至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4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月初，蓝色曲线（净买入）跌至低谷（约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-200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亿元），随后开始回升；与此同时，黑色曲线（累计净买入）也触及阶段性低点（约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500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亿元水平）。这通常是市场情绪最悲观的时刻，但聪明的杠杆资金开始逆势进场“抄底”。随后市场往往迎来一波反弹或反转行情。</w:t>
      </w:r>
    </w:p>
    <w:p>
      <w:pPr>
        <w:pStyle w:val="Normal"/>
        <w:widowControl/>
        <w:bidi w:val="0"/>
        <w:spacing w:lineRule="atLeast" w:line="450" w:before="0" w:after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到了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6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月中下旬，蓝色曲线虽然还在高位震荡，但黑色曲线（累计净买入）创出了上半年的新高（接近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5000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亿元）。此时市场情绪极其高涨，融资客大举加仓。然而，这也往往是行情的阶段性顶部。当所有人都加满杠杆时，后续买力枯竭，市场面临回调风险。</w:t>
      </w:r>
    </w:p>
    <w:p>
      <w:pPr>
        <w:pStyle w:val="Normal"/>
        <w:widowControl/>
        <w:bidi w:val="0"/>
        <w:spacing w:lineRule="atLeast" w:line="450" w:before="0" w:after="0"/>
        <w:ind w:hanging="0" w:left="0" w:right="0"/>
        <w:jc w:val="left"/>
        <w:rPr>
          <w:caps w:val="false"/>
          <w:smallCaps w:val="false"/>
          <w:color w:val="222222"/>
          <w:spacing w:val="0"/>
        </w:rPr>
      </w:pP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br/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总结与投资启示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br/>
        <w:t>1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、逆向思维：当融资净买入极度低迷时（如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4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月初），往往是市场的底部区域。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br/>
        <w:t>2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、风险预警：当融资累计买入达到历史高位且增速放缓时（如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6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月底），需警惕行情见顶。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br/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222222"/>
          <w:spacing w:val="0"/>
          <w:sz w:val="27"/>
        </w:rPr>
        <w:t>总的来说，跟踪“聪明钱”（融资客）的流向对于判断短期顶底具有重要的参考价值。</w:t>
      </w:r>
    </w:p>
    <w:p>
      <w:pPr>
        <w:pStyle w:val="Normal"/>
        <w:widowControl/>
        <w:bidi w:val="0"/>
        <w:spacing w:before="300" w:after="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drawing>
          <wp:inline distT="0" distB="0" distL="0" distR="0">
            <wp:extent cx="6318250" cy="3943350"/>
            <wp:effectExtent l="0" t="0" r="0" b="0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stem-ui">
    <w:altName w:val="apple-system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2</Pages>
  <Words>508</Words>
  <Characters>524</Characters>
  <CharactersWithSpaces>529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2026-08-13T10:09:59Z</dcterms:created>
  <dc:creator/>
  <dc:description/>
  <dc:language>zh-CN</dc:language>
  <cp:lastModifiedBy/>
  <dcterms:modified xsi:type="dcterms:W3CDTF">2026-08-13T10:12:44Z</dcterms:modified>
  <cp:revision>1</cp:revision>
  <dc:subject/>
  <dc:title/>
</cp:coreProperties>
</file>