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0286A">
      <w:pPr>
        <w:spacing w:line="580" w:lineRule="exact"/>
        <w:jc w:val="center"/>
        <w:rPr>
          <w:rFonts w:eastAsia="隶书"/>
          <w:b/>
          <w:bCs/>
          <w:color w:val="000000"/>
          <w:sz w:val="52"/>
        </w:rPr>
      </w:pPr>
      <w:r>
        <w:rPr>
          <w:rFonts w:hint="eastAsia" w:eastAsia="隶书"/>
          <w:b/>
          <w:bCs/>
          <w:color w:val="000000"/>
          <w:sz w:val="52"/>
        </w:rPr>
        <w:t xml:space="preserve">开  题  报  告 </w:t>
      </w:r>
    </w:p>
    <w:p w14:paraId="200AE2CA">
      <w:pPr>
        <w:spacing w:line="580" w:lineRule="exact"/>
        <w:jc w:val="center"/>
        <w:rPr>
          <w:rFonts w:eastAsia="隶书"/>
          <w:color w:val="000000"/>
        </w:rPr>
      </w:pPr>
      <w:r>
        <w:rPr>
          <w:rFonts w:hint="eastAsia" w:ascii="隶书" w:eastAsia="隶书"/>
          <w:b/>
          <w:bCs/>
          <w:color w:val="000000"/>
        </w:rPr>
        <w:t>（</w:t>
      </w:r>
      <w:r>
        <w:rPr>
          <w:rFonts w:hint="eastAsia" w:eastAsia="隶书"/>
          <w:b/>
          <w:bCs/>
          <w:color w:val="000000"/>
        </w:rPr>
        <w:t>该表格由学生独立完成)</w:t>
      </w:r>
    </w:p>
    <w:tbl>
      <w:tblPr>
        <w:tblStyle w:val="6"/>
        <w:tblW w:w="9450" w:type="dxa"/>
        <w:tblInd w:w="-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04513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450" w:type="dxa"/>
            <w:tcBorders>
              <w:bottom w:val="single" w:color="auto" w:sz="4" w:space="0"/>
            </w:tcBorders>
          </w:tcPr>
          <w:p w14:paraId="2DE3AE59">
            <w:pPr>
              <w:rPr>
                <w:rFonts w:ascii="黑体" w:eastAsia="黑体"/>
                <w:color w:val="000000"/>
                <w:spacing w:val="-20"/>
                <w:w w:val="80"/>
              </w:rPr>
            </w:pPr>
            <w:r>
              <w:rPr>
                <w:rFonts w:hint="eastAsia" w:ascii="黑体" w:eastAsia="黑体"/>
                <w:color w:val="000000"/>
                <w:w w:val="80"/>
              </w:rPr>
              <w:t>建议填写以下内容</w:t>
            </w:r>
            <w:r>
              <w:rPr>
                <w:rFonts w:hint="eastAsia" w:ascii="黑体" w:eastAsia="黑体"/>
                <w:color w:val="000000"/>
                <w:spacing w:val="-20"/>
                <w:w w:val="80"/>
              </w:rPr>
              <w:t>：</w:t>
            </w:r>
          </w:p>
          <w:p w14:paraId="67F55965">
            <w:pPr>
              <w:pStyle w:val="14"/>
              <w:numPr>
                <w:ilvl w:val="0"/>
                <w:numId w:val="1"/>
              </w:numPr>
              <w:spacing w:line="440" w:lineRule="exact"/>
              <w:ind w:firstLineChars="0"/>
              <w:jc w:val="left"/>
              <w:rPr>
                <w:rFonts w:ascii="黑体" w:eastAsia="黑体"/>
                <w:color w:val="000000"/>
                <w:w w:val="80"/>
              </w:rPr>
            </w:pPr>
            <w:r>
              <w:rPr>
                <w:rFonts w:hint="eastAsia" w:ascii="黑体" w:eastAsia="黑体"/>
                <w:color w:val="000000"/>
                <w:w w:val="80"/>
              </w:rPr>
              <w:t>简述课题的作用、意义，在国内外的研究现状和发展趋势，尚待研究的问题；</w:t>
            </w:r>
          </w:p>
          <w:p w14:paraId="2E3F1311">
            <w:pPr>
              <w:spacing w:line="440" w:lineRule="exact"/>
              <w:ind w:firstLine="480" w:firstLineChars="200"/>
              <w:jc w:val="left"/>
              <w:rPr>
                <w:rFonts w:hint="eastAsia"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  近年来，</w:t>
            </w:r>
            <w:r>
              <w:rPr>
                <w:rFonts w:hint="eastAsia" w:ascii="宋体" w:hAnsi="宋体" w:cs="宋体"/>
                <w:sz w:val="24"/>
              </w:rPr>
              <w:t>为应对气候变化，全球主要国家均提出了碳中和目标。中国“2030年前碳达峰、2060年前碳中和”的战略，对占社会总能耗近一半的建筑领域提出了明确的节能降碳要求。在大型公共建筑和商业建筑中，暖通空调系统的能耗通常占总能耗的40%-60%，而冷水机组作为其核心冷源，是最大的单体耗能设备。因此，提升冷水机组的运行效率成为建筑节能最直接、最有效的突破口之一。</w:t>
            </w:r>
          </w:p>
          <w:p w14:paraId="28E94FFF">
            <w:pPr>
              <w:spacing w:line="440" w:lineRule="exact"/>
              <w:ind w:firstLine="720" w:firstLineChars="300"/>
              <w:jc w:val="left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传统的冷水机组运维模式存在如依赖人工和经验，基于物理模型的局限性，故障诊断滞后等诸多问题，传统的设备运维高度以来工程师的经验进行定期巡检和事后检修，难以准确及时地掌握设备状态，同时早期的性能分析和诊断方法多依赖于建立准确的物理机理模型，但这些模型往往需要大量的设备参数，需要安装诸多传感器，建模复杂且维护成本高。</w:t>
            </w:r>
          </w:p>
          <w:p w14:paraId="0D369DF4">
            <w:pPr>
              <w:spacing w:line="440" w:lineRule="exact"/>
              <w:ind w:firstLine="480" w:firstLineChars="200"/>
              <w:jc w:val="left"/>
            </w:pPr>
            <w:r>
              <w:rPr>
                <w:rFonts w:ascii="宋体" w:hAnsi="宋体" w:cs="宋体"/>
                <w:sz w:val="24"/>
              </w:rPr>
              <w:t xml:space="preserve">  国外目前的研究主要集中在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性能预测，故障诊断和优化控制三个方面，并呈现出从传统模型向深度学习，混合模型发展的趋势</w:t>
            </w:r>
            <w:r>
              <w:rPr>
                <w:rFonts w:ascii="宋体" w:hAnsi="宋体" w:cs="宋体"/>
                <w:sz w:val="24"/>
              </w:rPr>
              <w:t>。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有诸多研究都结合深度学习模型，将预测目标从实时负荷扩展到未来时序负荷，并与控制系统深度结合。</w:t>
            </w:r>
            <w:r>
              <w:rPr>
                <w:rFonts w:ascii="宋体" w:hAnsi="宋体" w:cs="宋体"/>
                <w:sz w:val="24"/>
              </w:rPr>
              <w:t>此外，</w:t>
            </w:r>
            <w:r>
              <w:rPr>
                <w:rFonts w:hint="eastAsia" w:ascii="宋体" w:hAnsi="宋体" w:cs="宋体"/>
                <w:sz w:val="24"/>
              </w:rPr>
              <w:t>研究正从单一算法模型向数字孪生系统集成发展。例如，构建包含物理层、数据层、模型层和功能层的数字孪生系统，集成预测模型，实现状态监控、异常检测、预警和优化控制的一体化</w:t>
            </w:r>
            <w:r>
              <w:rPr>
                <w:rFonts w:ascii="宋体" w:hAnsi="宋体" w:cs="宋体"/>
                <w:sz w:val="24"/>
              </w:rPr>
              <w:t>。</w:t>
            </w:r>
          </w:p>
          <w:p w14:paraId="38E1397E">
            <w:pPr>
              <w:spacing w:line="440" w:lineRule="exact"/>
              <w:ind w:firstLine="480" w:firstLineChars="2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基于机器学习的冷水机组性能预测与诊断在节能、安全与智能化方面意义重大。当前研究已从传统方法迈向深度、混合与可解释模型，并致力于解决数据不平衡、特征提取等核心问题。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提升模型在少样本，跨工况的泛化能力，增强诊断结果的可解释性和物理一致性，有利于达成碳中和目标，提升制造业生产效率。</w:t>
            </w:r>
          </w:p>
        </w:tc>
      </w:tr>
      <w:tr w14:paraId="6CD1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7" w:hRule="atLeast"/>
        </w:trPr>
        <w:tc>
          <w:tcPr>
            <w:tcW w:w="9450" w:type="dxa"/>
            <w:tcBorders>
              <w:top w:val="single" w:color="auto" w:sz="4" w:space="0"/>
              <w:bottom w:val="single" w:color="auto" w:sz="4" w:space="0"/>
            </w:tcBorders>
          </w:tcPr>
          <w:p w14:paraId="3E02FE23">
            <w:pPr>
              <w:rPr>
                <w:rFonts w:ascii="黑体" w:eastAsia="黑体"/>
                <w:color w:val="000000"/>
                <w:w w:val="80"/>
              </w:rPr>
            </w:pPr>
            <w:r>
              <w:rPr>
                <w:rFonts w:hint="eastAsia" w:ascii="黑体" w:eastAsia="黑体"/>
                <w:color w:val="000000"/>
                <w:w w:val="80"/>
              </w:rPr>
              <w:t>2.重点介绍完成任务的可能思路和方案；</w:t>
            </w:r>
            <w:r>
              <w:rPr>
                <w:rFonts w:ascii="黑体" w:eastAsia="黑体"/>
                <w:color w:val="000000"/>
                <w:w w:val="80"/>
              </w:rPr>
              <w:t xml:space="preserve"> </w:t>
            </w:r>
          </w:p>
          <w:p w14:paraId="4B7974AA">
            <w:pPr>
              <w:widowControl/>
              <w:spacing w:after="240" w:line="435" w:lineRule="atLeast"/>
              <w:ind w:firstLine="480" w:firstLineChars="200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通过阅读相关文献，深入了解目前国内外针对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诊断冷水机组工况</w:t>
            </w:r>
            <w:r>
              <w:rPr>
                <w:rFonts w:ascii="宋体" w:hAnsi="宋体" w:cs="宋体"/>
                <w:kern w:val="0"/>
                <w:sz w:val="24"/>
              </w:rPr>
              <w:t>所采用的各种方法，包括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从深度模型转向深度学习模型，并进一步建立迁移学习模型和数字孪生模型。在</w:t>
            </w:r>
            <w:r>
              <w:rPr>
                <w:rFonts w:ascii="宋体" w:hAnsi="宋体" w:cs="宋体"/>
                <w:kern w:val="0"/>
                <w:sz w:val="24"/>
              </w:rPr>
              <w:t>掌握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从获取设备参数到分析，诊断设备工况</w:t>
            </w:r>
            <w:r>
              <w:rPr>
                <w:rFonts w:ascii="宋体" w:hAnsi="宋体" w:cs="宋体"/>
                <w:kern w:val="0"/>
                <w:sz w:val="24"/>
              </w:rPr>
              <w:t>全过程的基础上，通过全面分析每个环节的关键因素和相互影响，融合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深度学习</w:t>
            </w:r>
            <w:r>
              <w:rPr>
                <w:rFonts w:ascii="宋体" w:hAnsi="宋体" w:cs="宋体"/>
                <w:kern w:val="0"/>
                <w:sz w:val="24"/>
              </w:rPr>
              <w:t>算法进行系统分析与设计，最后进行系统的实现和论文撰写。</w:t>
            </w:r>
          </w:p>
          <w:p w14:paraId="337E25C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方案：（1）通过阅读文献掌握相关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理论</w:t>
            </w:r>
            <w:r>
              <w:rPr>
                <w:rFonts w:ascii="宋体" w:hAnsi="宋体" w:cs="宋体"/>
                <w:kern w:val="0"/>
                <w:sz w:val="24"/>
              </w:rPr>
              <w:t>；（2）掌握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深度学习理论知识和算法知识</w:t>
            </w:r>
            <w:r>
              <w:rPr>
                <w:rFonts w:ascii="宋体" w:hAnsi="宋体" w:cs="宋体"/>
                <w:kern w:val="0"/>
                <w:sz w:val="24"/>
              </w:rPr>
              <w:t>；（3）对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冷水机组工况分析</w:t>
            </w:r>
            <w:r>
              <w:rPr>
                <w:rFonts w:ascii="宋体" w:hAnsi="宋体" w:cs="宋体"/>
                <w:kern w:val="0"/>
                <w:sz w:val="24"/>
              </w:rPr>
              <w:t>过程进行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建模</w:t>
            </w:r>
            <w:r>
              <w:rPr>
                <w:rFonts w:ascii="宋体" w:hAnsi="宋体" w:cs="宋体"/>
                <w:kern w:val="0"/>
                <w:sz w:val="24"/>
              </w:rPr>
              <w:t>；（5）进行</w:t>
            </w:r>
            <w:r>
              <w:rPr>
                <w:rStyle w:val="8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数据准备与特征工程</w:t>
            </w:r>
            <w:r>
              <w:rPr>
                <w:rStyle w:val="8"/>
                <w:rFonts w:hint="eastAsia" w:ascii="宋体" w:hAnsi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基于已建立的工况分析模型，构建可用于模型训练的有效特征集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ascii="宋体" w:hAnsi="宋体" w:cs="宋体"/>
                <w:kern w:val="0"/>
                <w:sz w:val="24"/>
              </w:rPr>
              <w:t>（6）进行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相关算</w:t>
            </w:r>
            <w:bookmarkStart w:id="1" w:name="_GoBack"/>
            <w:bookmarkEnd w:id="1"/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法实现</w:t>
            </w:r>
            <w:r>
              <w:rPr>
                <w:rFonts w:ascii="宋体" w:hAnsi="宋体" w:cs="宋体"/>
                <w:kern w:val="0"/>
                <w:sz w:val="24"/>
              </w:rPr>
              <w:t>的编码工作；（7）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对模型结果进行评估和改进</w:t>
            </w:r>
            <w:r>
              <w:rPr>
                <w:rFonts w:ascii="宋体" w:hAnsi="宋体" w:cs="宋体"/>
                <w:kern w:val="0"/>
                <w:sz w:val="24"/>
              </w:rPr>
              <w:t>；（8）进行论文的撰写。</w:t>
            </w:r>
          </w:p>
          <w:p w14:paraId="17F19215">
            <w:pPr>
              <w:spacing w:line="440" w:lineRule="exact"/>
              <w:ind w:firstLine="480" w:firstLineChars="200"/>
              <w:rPr>
                <w:rFonts w:ascii="宋体" w:hAnsi="宋体" w:cs="宋体"/>
                <w:sz w:val="24"/>
              </w:rPr>
            </w:pPr>
          </w:p>
        </w:tc>
      </w:tr>
      <w:tr w14:paraId="5D7B7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450" w:type="dxa"/>
            <w:tcBorders>
              <w:top w:val="single" w:color="auto" w:sz="4" w:space="0"/>
              <w:bottom w:val="single" w:color="auto" w:sz="4" w:space="0"/>
            </w:tcBorders>
          </w:tcPr>
          <w:p w14:paraId="4DB476DD">
            <w:pPr>
              <w:jc w:val="left"/>
              <w:rPr>
                <w:rFonts w:ascii="黑体" w:eastAsia="黑体"/>
                <w:color w:val="000000"/>
                <w:w w:val="80"/>
              </w:rPr>
            </w:pPr>
            <w:r>
              <w:rPr>
                <w:rFonts w:hint="eastAsia" w:ascii="黑体" w:eastAsia="黑体"/>
                <w:color w:val="000000"/>
                <w:w w:val="80"/>
              </w:rPr>
              <w:t>3.需要的主要仪器和设备等；</w:t>
            </w:r>
          </w:p>
          <w:p w14:paraId="06E5A126">
            <w:pPr>
              <w:spacing w:line="440" w:lineRule="exact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PC机一台</w:t>
            </w:r>
          </w:p>
        </w:tc>
      </w:tr>
      <w:tr w14:paraId="13BFF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450" w:type="dxa"/>
            <w:tcBorders>
              <w:top w:val="single" w:color="auto" w:sz="4" w:space="0"/>
            </w:tcBorders>
          </w:tcPr>
          <w:p w14:paraId="227D9611">
            <w:pPr>
              <w:rPr>
                <w:rFonts w:ascii="黑体" w:eastAsia="黑体"/>
                <w:color w:val="000000"/>
                <w:w w:val="80"/>
              </w:rPr>
            </w:pPr>
            <w:r>
              <w:rPr>
                <w:rFonts w:hint="eastAsia" w:ascii="黑体" w:eastAsia="黑体"/>
                <w:color w:val="000000"/>
                <w:w w:val="80"/>
              </w:rPr>
              <w:t>4.主要参考文献；</w:t>
            </w:r>
          </w:p>
          <w:p w14:paraId="4D568A45">
            <w:pPr>
              <w:spacing w:line="44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[1] EOM Y H. Deep learning-based prediction method on performance change of air source heat pump system under frosting conditions[J]. 2021.</w:t>
            </w:r>
          </w:p>
          <w:p w14:paraId="41657879">
            <w:pPr>
              <w:spacing w:line="44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[2] WANG Y, CHEN J, CAO B, 等. Energy consumption prediction of cold storage based on LSTM with parameter optimization[J/OL]. International Journal of Refrigeration, 2025, 175: 12-24. </w:t>
            </w:r>
          </w:p>
          <w:p w14:paraId="3D8CC198">
            <w:pPr>
              <w:spacing w:line="44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[3] 邓翔, 陈文景, 邓仕钧. 基于深度学习LSTM模型的短期空调负荷预测[J]. 建筑热能通风空调, 2021, 40(11): 25-27, 51.</w:t>
            </w:r>
          </w:p>
          <w:p w14:paraId="45D2A5EE">
            <w:pPr>
              <w:spacing w:line="44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 xml:space="preserve">] JEON S H, YOO S, YOO Y S, 等. ML- and LSTM-Based Radiator Predictive Maintenance for Energy Saving in Compressed Air Systems[J/OL]. Energies, 2024, 17(6): 1428. </w:t>
            </w:r>
          </w:p>
          <w:p w14:paraId="29AF98CD">
            <w:pPr>
              <w:spacing w:line="44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] ZHAO L, DING C, ZHANG B, 等. Research on CNN-LSTM Based Reprocessing Process State Prediction Model[J].</w:t>
            </w:r>
          </w:p>
          <w:p w14:paraId="40C11223">
            <w:pPr>
              <w:spacing w:line="44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 xml:space="preserve">] FAN C, CHEN H. Research on eXplainable artificial intelligence in the CNN-LSTM hybrid model for energy forecasting[J/OL]. Journal of Building Engineering, 2025, 111: 113150. </w:t>
            </w:r>
          </w:p>
          <w:p w14:paraId="3460C03B">
            <w:pPr>
              <w:spacing w:line="44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] 郑婧蕾. 基于机器学习的船舶电气设备运行状态监测方法研究[J]. 黑龙江科学, 2025, 16(24): 58-61.</w:t>
            </w:r>
          </w:p>
          <w:p w14:paraId="669E1848">
            <w:pPr>
              <w:spacing w:line="44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 xml:space="preserve">] 李发洋. 基于时间序列实时分类方法研究及其在冷水机组故障检测中的应用[D/OL]. 贵州大学, 2025[2026-01-18]. https://link.cnki.net/doi/10.27047/d.cnki.ggudu.2025.001475. </w:t>
            </w:r>
          </w:p>
          <w:p w14:paraId="5F9DF398">
            <w:pPr>
              <w:spacing w:line="44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] 周广元. 深度学习在发电厂主机设备运行数据分析中的应用[J]. 电气时代, 2025(9): 42-45.</w:t>
            </w:r>
          </w:p>
          <w:p w14:paraId="38F4473E">
            <w:pPr>
              <w:spacing w:line="440" w:lineRule="exact"/>
              <w:jc w:val="left"/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] 矫千熠, 杨俊杰, 隋志成, 等. 基于LSTM-Attention-GNN的芯片厂冷水机组负荷预测方法[J]. 上海电机学院学报, 2025, 28(6): 311-316, 323.</w:t>
            </w:r>
          </w:p>
        </w:tc>
      </w:tr>
      <w:tr w14:paraId="241B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4" w:hRule="atLeast"/>
        </w:trPr>
        <w:tc>
          <w:tcPr>
            <w:tcW w:w="9450" w:type="dxa"/>
          </w:tcPr>
          <w:p w14:paraId="0667A895">
            <w:pPr>
              <w:spacing w:line="360" w:lineRule="exact"/>
              <w:rPr>
                <w:rFonts w:ascii="黑体" w:hAnsi="宋体" w:eastAsia="黑体"/>
                <w:color w:val="000000"/>
                <w:w w:val="80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</w:rPr>
              <w:t>指导教师评语：</w:t>
            </w:r>
            <w:r>
              <w:rPr>
                <w:rFonts w:hint="eastAsia" w:ascii="黑体" w:hAnsi="宋体" w:eastAsia="黑体"/>
                <w:color w:val="000000"/>
              </w:rPr>
              <w:t>（</w:t>
            </w:r>
            <w:r>
              <w:rPr>
                <w:rFonts w:hint="eastAsia" w:ascii="黑体" w:hAnsi="宋体" w:eastAsia="黑体"/>
                <w:color w:val="000000"/>
                <w:w w:val="80"/>
              </w:rPr>
              <w:t>建议填写内容：对学生提出的方案给出评语，明确是否同意开题，提出学生完成上述任务的建议、注意事项等）</w:t>
            </w:r>
          </w:p>
          <w:p w14:paraId="67FBABCD">
            <w:pPr>
              <w:spacing w:line="360" w:lineRule="exact"/>
              <w:ind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 w14:paraId="195EA42C">
            <w:pPr>
              <w:spacing w:line="360" w:lineRule="exact"/>
              <w:ind w:firstLine="480" w:firstLineChars="200"/>
              <w:rPr>
                <w:rFonts w:ascii="宋体" w:hAnsi="宋体"/>
                <w:color w:val="000000"/>
                <w:sz w:val="24"/>
              </w:rPr>
            </w:pPr>
          </w:p>
          <w:p w14:paraId="2D27BAE5">
            <w:pPr>
              <w:spacing w:line="360" w:lineRule="auto"/>
              <w:ind w:firstLine="3654" w:firstLineChars="1300"/>
              <w:jc w:val="right"/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</w:rPr>
              <w:t>指导教师签字：</w:t>
            </w:r>
            <w:bookmarkStart w:id="0" w:name="书签"/>
            <w:bookmarkEnd w:id="0"/>
            <w:r>
              <w:rPr>
                <w:rFonts w:hint="eastAsia" w:ascii="宋体" w:hAnsi="宋体"/>
                <w:b/>
                <w:bCs/>
                <w:color w:val="000000"/>
                <w:sz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 </w:t>
            </w:r>
          </w:p>
          <w:p w14:paraId="2F948836">
            <w:pPr>
              <w:spacing w:line="360" w:lineRule="auto"/>
              <w:jc w:val="right"/>
              <w:rPr>
                <w:b/>
                <w:bCs/>
                <w:color w:val="000000"/>
                <w:sz w:val="32"/>
              </w:rPr>
            </w:pPr>
          </w:p>
        </w:tc>
      </w:tr>
    </w:tbl>
    <w:p w14:paraId="1049DA25">
      <w:pPr>
        <w:rPr>
          <w:sz w:val="24"/>
        </w:rPr>
      </w:pPr>
    </w:p>
    <w:sectPr>
      <w:headerReference r:id="rId3" w:type="default"/>
      <w:pgSz w:w="11906" w:h="16838"/>
      <w:pgMar w:top="1440" w:right="1286" w:bottom="124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1302A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5E3DE0"/>
    <w:multiLevelType w:val="multilevel"/>
    <w:tmpl w:val="675E3DE0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FFA"/>
    <w:rsid w:val="00047A4B"/>
    <w:rsid w:val="00092428"/>
    <w:rsid w:val="00100D7F"/>
    <w:rsid w:val="001518D1"/>
    <w:rsid w:val="00174728"/>
    <w:rsid w:val="001B4236"/>
    <w:rsid w:val="001C33B7"/>
    <w:rsid w:val="00326893"/>
    <w:rsid w:val="00516181"/>
    <w:rsid w:val="00586AFF"/>
    <w:rsid w:val="005A0FB6"/>
    <w:rsid w:val="005C4643"/>
    <w:rsid w:val="006E4CF0"/>
    <w:rsid w:val="0072629D"/>
    <w:rsid w:val="008A60DC"/>
    <w:rsid w:val="008A7EBE"/>
    <w:rsid w:val="008B7176"/>
    <w:rsid w:val="008D0276"/>
    <w:rsid w:val="00907B78"/>
    <w:rsid w:val="00952FFA"/>
    <w:rsid w:val="0095600E"/>
    <w:rsid w:val="009D7988"/>
    <w:rsid w:val="00A4405C"/>
    <w:rsid w:val="00A4768B"/>
    <w:rsid w:val="00A57EF5"/>
    <w:rsid w:val="00A91399"/>
    <w:rsid w:val="00B369BE"/>
    <w:rsid w:val="00B61558"/>
    <w:rsid w:val="00B912C4"/>
    <w:rsid w:val="00BF470B"/>
    <w:rsid w:val="00C54AB0"/>
    <w:rsid w:val="00D10A10"/>
    <w:rsid w:val="00DF13E1"/>
    <w:rsid w:val="00DF3697"/>
    <w:rsid w:val="00E36133"/>
    <w:rsid w:val="00E41987"/>
    <w:rsid w:val="00EB47ED"/>
    <w:rsid w:val="00F76A2F"/>
    <w:rsid w:val="00FC7D06"/>
    <w:rsid w:val="02F334AE"/>
    <w:rsid w:val="05A81A96"/>
    <w:rsid w:val="06AD7461"/>
    <w:rsid w:val="0A9C33B1"/>
    <w:rsid w:val="0C351A9D"/>
    <w:rsid w:val="0CA76850"/>
    <w:rsid w:val="0E4B7BF2"/>
    <w:rsid w:val="134D6B6A"/>
    <w:rsid w:val="1555140E"/>
    <w:rsid w:val="15967CC5"/>
    <w:rsid w:val="15991DAC"/>
    <w:rsid w:val="1BBD380F"/>
    <w:rsid w:val="1D6D2945"/>
    <w:rsid w:val="225E7B4A"/>
    <w:rsid w:val="251F2B9E"/>
    <w:rsid w:val="26991210"/>
    <w:rsid w:val="2C3770C2"/>
    <w:rsid w:val="2E3A2DDB"/>
    <w:rsid w:val="2E4F32FD"/>
    <w:rsid w:val="2FAA2F66"/>
    <w:rsid w:val="30AD00DD"/>
    <w:rsid w:val="341D3119"/>
    <w:rsid w:val="36173C51"/>
    <w:rsid w:val="374B72E2"/>
    <w:rsid w:val="3ECB2497"/>
    <w:rsid w:val="40F13538"/>
    <w:rsid w:val="446748D5"/>
    <w:rsid w:val="465D39AE"/>
    <w:rsid w:val="46B34549"/>
    <w:rsid w:val="497172EB"/>
    <w:rsid w:val="4B970C64"/>
    <w:rsid w:val="4C3C32F6"/>
    <w:rsid w:val="4FD620C7"/>
    <w:rsid w:val="51295BCC"/>
    <w:rsid w:val="53B324F7"/>
    <w:rsid w:val="55874359"/>
    <w:rsid w:val="573B3A5B"/>
    <w:rsid w:val="57500CAF"/>
    <w:rsid w:val="58AA24E3"/>
    <w:rsid w:val="610E719D"/>
    <w:rsid w:val="638821B8"/>
    <w:rsid w:val="64022863"/>
    <w:rsid w:val="66F0038C"/>
    <w:rsid w:val="676E2D98"/>
    <w:rsid w:val="68AB5152"/>
    <w:rsid w:val="6B224CB1"/>
    <w:rsid w:val="6BEC711C"/>
    <w:rsid w:val="6DFA0CB7"/>
    <w:rsid w:val="700E441B"/>
    <w:rsid w:val="717503F6"/>
    <w:rsid w:val="718D5813"/>
    <w:rsid w:val="7419741B"/>
    <w:rsid w:val="74C10F6F"/>
    <w:rsid w:val="754221A6"/>
    <w:rsid w:val="772F6AA2"/>
    <w:rsid w:val="7C581E85"/>
    <w:rsid w:val="7CEE5D18"/>
    <w:rsid w:val="7FCE51B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footer"/>
    <w:basedOn w:val="1"/>
    <w:link w:val="1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page number"/>
    <w:basedOn w:val="7"/>
    <w:qFormat/>
    <w:uiPriority w:val="0"/>
  </w:style>
  <w:style w:type="character" w:styleId="10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7"/>
    <w:link w:val="4"/>
    <w:semiHidden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semiHidden/>
    <w:qFormat/>
    <w:uiPriority w:val="99"/>
    <w:rPr>
      <w:sz w:val="18"/>
      <w:szCs w:val="18"/>
    </w:rPr>
  </w:style>
  <w:style w:type="character" w:customStyle="1" w:styleId="13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C4C260-27B5-4D0D-85E3-7D88EEE4E0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微软公司</Company>
  <Pages>3</Pages>
  <Words>1305</Words>
  <Characters>1836</Characters>
  <Lines>13</Lines>
  <Paragraphs>3</Paragraphs>
  <TotalTime>50</TotalTime>
  <ScaleCrop>false</ScaleCrop>
  <LinksUpToDate>false</LinksUpToDate>
  <CharactersWithSpaces>1896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2017-11-24T09:05:00Z</dcterms:created>
  <dc:creator>微软用户</dc:creator>
  <cp:lastModifiedBy>WPS_1660654614</cp:lastModifiedBy>
  <cp:lastPrinted>2017-09-27T04:03:00Z</cp:lastPrinted>
  <dcterms:modified xsi:type="dcterms:W3CDTF">2026-03-12T10:21:13Z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1F5AD230E9634550979F7F554092DD53_13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eyJoZGlkIjoiMDlkY2FmMGY2ZDhlZWZlYmYwNTBmNzViNDljYjQ0Y2UiLCJ1c2VySWQiOiIxMzkzODQ5OTY2In0=</vt:lpwstr>
  </property>
</Properties>
</file>