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after="0"/>
        <w:ind w:firstLine="480"/>
      </w:pPr>
      <w:r>
        <w:rPr>
          <w:rFonts w:ascii="宋体" w:hAnsi="宋体" w:eastAsia="宋体"/>
          <w:b w:val="0"/>
          <w:sz w:val="24"/>
        </w:rPr>
        <w:t>本发明公开了一种基于近端策略优化的无人机集群动态目标分群方法，属于无人机集群任务规划与强化学习决策领域。该方法在摧毁目标集已经确定并完成PSO初始区域划分后，针对目标新增、目标消失和目标属性变化等动态事件，构建簇级状态空间和目标移动动作空间；簇级状态包括目标数量、簇中心、簇内平均距离、坐标离散程度、价值总和、防御总和和任务负载，目标移动动作表示将源目标簇中的目标迁移至目标目标簇；奖励函数综合区域紧凑性、目标数量均衡性、任务负载均衡性、空簇惩罚、非法动作惩罚和分群得分改善量，并通过近端策略优化裁剪目标函数训练策略网络。推理时以PSO初始分群为起点，由训练后的策略网络连续输出目标移动动作，更新目标簇标签和簇中心，形成动态重分群后的目标簇集合。本发明能够提高动态战场中无人机集群目标区域划分的连续性、均衡性和适应能力，为后续资源分配、任务完成率评估和打击次序规划提供可靠输入。</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