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84C750" w14:textId="77777777" w:rsidR="00E96B4B" w:rsidRDefault="00000000">
      <w:pPr>
        <w:rPr>
          <w:rFonts w:ascii="Times New Roman" w:hAnsi="Times New Roman" w:cs="Times New Roman" w:eastAsia="Times New Roman"/>
          <w:b/>
          <w:bCs/>
          <w:sz w:val="32"/>
          <w:szCs w:val="32"/>
        </w:rPr>
      </w:pPr>
      <w:r>
        <w:rPr>
          <w:rFonts w:ascii="Times New Roman" w:eastAsia="Times New Roman" w:hAnsi="Times New Roman" w:cs="Times New Roman"/>
          <w:b/>
          <w:sz w:val="32"/>
          <w:szCs w:val="32"/>
        </w:rPr>
        <w:t>Project Proposal</w:t>
      </w:r>
    </w:p>
    <w:p w14:paraId="3ADEF971" w14:textId="77777777" w:rsidR="00E96B4B" w:rsidRDefault="00E96B4B">
      <w:pPr>
        <w:rPr>
          <w:rFonts w:ascii="Times New Roman" w:hAnsi="Times New Roman" w:cs="Times New Roman" w:eastAsia="Times New Roman"/>
        </w:rPr>
      </w:pPr>
    </w:p>
    <w:p w14:paraId="1714326E"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b/>
          <w:szCs w:val="21"/>
        </w:rPr>
        <w:t>1. Project Title</w:t>
      </w:r>
    </w:p>
    <w:p w14:paraId="7CDF7049" w14:textId="77777777" w:rsidR="00E96B4B" w:rsidRDefault="00000000">
      <w:pPr>
        <w:rPr>
          <w:rFonts w:ascii="Times New Roman" w:hAnsi="Times New Roman" w:cs="Times New Roman" w:eastAsia="Times New Roman"/>
          <w:i/>
          <w:iCs/>
        </w:rPr>
      </w:pPr>
      <w:r>
        <w:rPr>
          <w:rFonts w:ascii="Times New Roman" w:eastAsia="Times New Roman" w:hAnsi="Times New Roman" w:cs="Times New Roman"/>
          <w:i/>
          <w:szCs w:val="21"/>
        </w:rPr>
        <w:t>Demand Forecasting and Inventory-Fulfillment Optimization for E-commerce Operations: An Olist Data-Based OR Approach</w:t>
      </w:r>
    </w:p>
    <w:p w14:paraId="22E3A7EB" w14:textId="77777777" w:rsidR="00E96B4B" w:rsidRDefault="00E96B4B">
      <w:pPr>
        <w:rPr>
          <w:rFonts w:ascii="Times New Roman" w:hAnsi="Times New Roman" w:cs="Times New Roman" w:eastAsia="Times New Roman"/>
        </w:rPr>
      </w:pPr>
    </w:p>
    <w:p w14:paraId="12AD9E8B"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b/>
          <w:szCs w:val="21"/>
        </w:rPr>
        <w:t>2. Project Motivation and Research Background</w:t>
      </w:r>
    </w:p>
    <w:p w14:paraId="29A7E881"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szCs w:val="21"/>
        </w:rPr>
        <w:t>In e-commerce, customers expect rapid and reliable delivery, but the firm must prepare inventory before demand is known. Underestimating demand can create stockouts, emergency replenishment, delayed delivery, cancellation, and lost service. Overestimating demand can increase inventory holding cost and working-capital use. The operational problem is therefore not simply to ship an order after it arrives, but to anticipate where demand will occur and prepare an appropriate inventory position before the order is placed.</w:t>
      </w:r>
    </w:p>
    <w:p w14:paraId="298F6492" w14:textId="77777777" w:rsidR="00E96B4B" w:rsidRDefault="00000000">
      <w:pPr>
        <w:rPr>
          <w:rFonts w:ascii="Times New Roman" w:hAnsi="Times New Roman" w:cs="Times New Roman" w:eastAsia="Times New Roman"/>
          <w:b/>
          <w:bCs/>
        </w:rPr>
      </w:pPr>
      <w:r>
        <w:t>This project will combine data analysis, demand forecasting, and two specific traditional Operations Research models. Historical Olist orders will first be used to identify demand patterns and fulfillment risks by product category, customer region, seller origin, and route. A four-week multi-period inventory-replenishment mixed-integer linear program (MILP) will decide how much inventory to order and where to position it before demand is observed. A capacitated transportation/fulfillment MILP will then allocate realized demand to proxy hubs. Forecasts and past-only forecast errors will enter the first model as safety-adjusted demand, while smoothed historical late-dispatch and late-delivery rates will enter the second model as fulfillment-risk costs.</w:t>
      </w:r>
    </w:p>
    <w:p w14:paraId="7D12085B" w14:textId="06B00B7E" w:rsidR="00E96B4B" w:rsidRDefault="00000000">
      <w:pPr>
        <w:rPr>
          <w:rFonts w:ascii="Times New Roman" w:hAnsi="Times New Roman" w:cs="Times New Roman" w:eastAsia="Times New Roman"/>
          <w:b/>
          <w:bCs/>
        </w:rPr>
      </w:pPr>
      <w:r>
        <w:rPr>
          <w:rFonts w:ascii="Times New Roman" w:eastAsia="Times New Roman" w:hAnsi="Times New Roman" w:cs="Times New Roman"/>
          <w:szCs w:val="21"/>
        </w:rPr>
        <w:t>All non-</w:t>
      </w:r>
      <w:proofErr w:type="spellStart"/>
      <w:r>
        <w:rPr>
          <w:rFonts w:ascii="Times New Roman" w:eastAsia="Times New Roman" w:hAnsi="Times New Roman" w:cs="Times New Roman"/>
          <w:szCs w:val="21"/>
        </w:rPr>
        <w:t>Olist</w:t>
      </w:r>
      <w:proofErr w:type="spellEnd"/>
      <w:r>
        <w:rPr>
          <w:rFonts w:ascii="Times New Roman" w:eastAsia="Times New Roman" w:hAnsi="Times New Roman" w:cs="Times New Roman"/>
          <w:szCs w:val="21"/>
        </w:rPr>
        <w:t xml:space="preserve"> operational parameters will be declared and stress-tested instead of being presented as facts.</w:t>
      </w:r>
    </w:p>
    <w:p w14:paraId="37D78AAA" w14:textId="77777777" w:rsidR="00E96B4B" w:rsidRDefault="00E96B4B">
      <w:pPr>
        <w:rPr>
          <w:rFonts w:ascii="Times New Roman" w:hAnsi="Times New Roman" w:cs="Times New Roman" w:eastAsia="Times New Roman"/>
        </w:rPr>
      </w:pPr>
    </w:p>
    <w:p w14:paraId="47327142" w14:textId="32049F29" w:rsidR="00B70156" w:rsidRPr="00B70156" w:rsidRDefault="00B70156" w:rsidP="00B70156">
      <w:pPr>
        <w:rPr>
          <w:rFonts w:ascii="Times New Roman" w:eastAsia="Times New Roman" w:hAnsi="Times New Roman" w:cs="Times New Roman" w:hint="eastAsia"/>
          <w:b/>
          <w:szCs w:val="21"/>
        </w:rPr>
      </w:pPr>
      <w:r>
        <w:t>3. Literature-Informed Design</w:t>
      </w:r>
    </w:p>
    <w:p w14:paraId="4464B685" w14:textId="3690D7F2" w:rsidR="00B70156" w:rsidRPr="00B70156" w:rsidRDefault="00B70156" w:rsidP="00B70156">
      <w:pPr>
        <w:rPr>
          <w:rFonts w:ascii="Times New Roman" w:eastAsia="Times New Roman" w:hAnsi="Times New Roman" w:cs="Times New Roman" w:hint="eastAsia"/>
          <w:bCs/>
          <w:szCs w:val="21"/>
        </w:rPr>
      </w:pPr>
      <w:r>
        <w:t>The proposal combines three literature streams. Forecasting research recommends chronological validation and comparison against transparent naive and moving-average benchmarks because model value must be demonstrated out of sample (Hyndman &amp; Athanasopoulos, 2021; Fildes et al., 2022). Inventory research shows that point forecasts should be adjusted for uncertainty before they enter replenishment decisions (Snyder &amp; Shen, 2019). Predict-then-optimize research further argues that forecasts should be judged by their downstream cost and service consequences, not by forecast error alone (Bertsimas &amp; Kallus, 2020; Elmachtoub &amp; Grigas, 2022).</w:t>
      </w:r>
    </w:p>
    <w:p w14:paraId="4A8E5094" w14:textId="66BAD9B7" w:rsidR="00E96B4B" w:rsidRPr="00B70156" w:rsidRDefault="00B70156" w:rsidP="00B70156">
      <w:pPr>
        <w:rPr>
          <w:rFonts w:ascii="Times New Roman" w:hAnsi="Times New Roman" w:cs="Times New Roman" w:eastAsia="Times New Roman"/>
          <w:bCs/>
        </w:rPr>
      </w:pPr>
      <w:r>
        <w:t>These ideas lead to one integrated workflow: construct a leakage-safe weekly demand panel; compare a last-week naive forecast, a four-week moving average, and a pooled Ridge regression; estimate each method's error scale using an eight-week chronological holdout available at the forecast origin; convert forecasts into safety-adjusted planning demand; solve the inventory and fulfillment MILPs; and compare total cost, fill rate, shortages, regional service, and sensitivity under an identical operating environment.</w:t>
      </w:r>
    </w:p>
    <w:p w14:paraId="50B62577" w14:textId="77777777" w:rsidR="00E96B4B" w:rsidRDefault="00E96B4B">
      <w:pPr>
        <w:rPr>
          <w:rFonts w:ascii="Times New Roman" w:hAnsi="Times New Roman" w:cs="Times New Roman" w:eastAsia="Times New Roman"/>
        </w:rPr>
      </w:pPr>
    </w:p>
    <w:p w14:paraId="76C82F0D"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b/>
          <w:szCs w:val="21"/>
        </w:rPr>
        <w:t>4. Data Source and Data Availability</w:t>
      </w:r>
    </w:p>
    <w:p w14:paraId="78C20A58"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b/>
          <w:szCs w:val="21"/>
        </w:rPr>
        <w:t>4.1 Observed Olist data</w:t>
      </w:r>
    </w:p>
    <w:p w14:paraId="4713BF24"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szCs w:val="21"/>
        </w:rPr>
        <w:t>The project will use six core files from the Brazilian E-Commerce Public Dataset by Olist: orders, order items, products, product-category translation, customers, and sellers. Orders provide purchase and delivery timestamps; order items provide product, seller, price, and freight; products and translation provide category and product attributes; customers provide destination state; and sellers provide seller origin state. Payments, reviews, and geolocation are not required for the core forecast-optimization model.</w:t>
      </w:r>
    </w:p>
    <w:p w14:paraId="5B989494"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b/>
          <w:szCs w:val="21"/>
        </w:rPr>
        <w:t>4.2 Derived variables</w:t>
      </w:r>
    </w:p>
    <w:p w14:paraId="0788DD11"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szCs w:val="21"/>
        </w:rPr>
        <w:lastRenderedPageBreak/>
        <w:t>Variables derived from the observed files will include weekly category-region unit demand, regional demand share, category median price and weight, route-level median freight, seller supply share, approval-to-carrier lead-time proxy, and historical late-dispatch or late-delivery indicators. These variables are computed from Olist records; they are not additional external fields.</w:t>
      </w:r>
    </w:p>
    <w:p w14:paraId="28958CD9"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b/>
          <w:szCs w:val="21"/>
        </w:rPr>
        <w:t>4.3 Scenario assumptions required for implementation</w:t>
      </w:r>
    </w:p>
    <w:p w14:paraId="0C49391A" w14:textId="77777777" w:rsidR="00E96B4B" w:rsidRDefault="00000000">
      <w:pPr>
        <w:rPr>
          <w:rFonts w:ascii="Times New Roman" w:hAnsi="Times New Roman" w:cs="Times New Roman" w:eastAsia="Times New Roman"/>
          <w:b/>
          <w:bCs/>
        </w:rPr>
      </w:pPr>
      <w:r>
        <w:t>Olist does not report warehouse inventory, procurement cost, replenishment capacity, or hub throughput. The implementation will therefore use a transparent scenario rather than treating these values as observed facts. Six seller-state proxy hubs (SP, PR, MG, RJ, SC, and RS) are selected because they represent the largest historical seller-origin concentrations. A four-week horizon balances operational relevance with the eight-day project schedule, and a one-week lead time reflects the weekly decision frequency. Initial inventory equals two average-demand weeks to provide a neutral starting stock. Throughput and replenishment capacities are tied to historical 90th-percentile activity (multipliers 1.35 and 1.50) so the network can serve high but plausible weeks without making capacity unlimited. Procurement cost is 60% of median product price, weekly holding cost is 1%, and shortage penalty is 125% plus median freight to encode the intended ordering shortage &gt; procurement &gt; holding. The 90% service target is a clear, feasible baseline; route- and seller-risk weights of 8 and 5 make historical delay risk visible without dominating freight. Because these are scenario choices, the project will vary safety stock, service target, capacity, lead time, shortage penalty, and risk weights and will report which conclusions remain stable.</w:t>
      </w:r>
    </w:p>
    <w:p w14:paraId="70204CDF"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b/>
          <w:szCs w:val="21"/>
        </w:rPr>
        <w:t>4.4 Preliminary availability check</w:t>
      </w:r>
    </w:p>
    <w:p w14:paraId="2231EA38"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szCs w:val="21"/>
        </w:rPr>
        <w:t>The initial audit indicates 112,643 valid purchased item lines and 86 complete weeks from 2 January 2017 through 20 August 2018; the incomplete week beginning 27 August 2018 will be excluded. The ten largest categories and five customer regions form 50 weekly series and 4,300 zero-inclusive panel rows. Category-region aggregation is justified because 85.3% of products sell fewer than five units and 54.9% appear only once in the retained data.</w:t>
      </w:r>
    </w:p>
    <w:p w14:paraId="6FF32CB3" w14:textId="77777777" w:rsidR="00E96B4B" w:rsidRDefault="00E96B4B">
      <w:pPr>
        <w:rPr>
          <w:rFonts w:ascii="Times New Roman" w:hAnsi="Times New Roman" w:cs="Times New Roman" w:eastAsia="Times New Roman"/>
        </w:rPr>
      </w:pPr>
    </w:p>
    <w:p w14:paraId="5F06BE5F"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b/>
          <w:szCs w:val="21"/>
        </w:rPr>
        <w:t>5. Research Questions</w:t>
      </w:r>
    </w:p>
    <w:p w14:paraId="20C21935" w14:textId="77777777" w:rsidR="00E96B4B" w:rsidRDefault="00000000">
      <w:pPr>
        <w:rPr>
          <w:rFonts w:ascii="Times New Roman" w:hAnsi="Times New Roman" w:cs="Times New Roman" w:eastAsia="Times New Roman"/>
          <w:b/>
          <w:bCs/>
        </w:rPr>
      </w:pPr>
      <w:r>
        <w:t>Main question. What decision-relevant value is created when Olist-derived demand and fulfillment-risk patterns are converted into forecast-driven inventory and fulfillment decisions?</w:t>
      </w:r>
    </w:p>
    <w:p w14:paraId="514DBFCC" w14:textId="77777777" w:rsidR="00E96B4B" w:rsidRDefault="00000000">
      <w:pPr>
        <w:rPr>
          <w:rFonts w:ascii="Times New Roman" w:hAnsi="Times New Roman" w:cs="Times New Roman" w:eastAsia="Times New Roman"/>
          <w:b/>
          <w:bCs/>
        </w:rPr>
      </w:pPr>
      <w:r>
        <w:t>RQ1. Where are demand, forecast difficulty, and fulfillment risk concentrated across categories, customer regions, seller origins, and routes?</w:t>
      </w:r>
    </w:p>
    <w:p w14:paraId="2EC3E222" w14:textId="77777777" w:rsidR="00E96B4B" w:rsidRDefault="00000000">
      <w:pPr>
        <w:rPr>
          <w:rFonts w:ascii="Times New Roman" w:hAnsi="Times New Roman" w:cs="Times New Roman" w:eastAsia="Times New Roman"/>
          <w:b/>
          <w:bCs/>
        </w:rPr>
      </w:pPr>
      <w:r>
        <w:t>RQ2. Does pooled Ridge regression improve chronological out-of-sample accuracy over last-week and four-week moving-average benchmarks, overall and by category-region segment?</w:t>
      </w:r>
    </w:p>
    <w:p w14:paraId="2BC6F0D8" w14:textId="77777777" w:rsidR="00E96B4B" w:rsidRDefault="00000000">
      <w:pPr>
        <w:rPr>
          <w:rFonts w:ascii="Times New Roman" w:hAnsi="Times New Roman" w:cs="Times New Roman" w:eastAsia="Times New Roman"/>
          <w:b/>
          <w:bCs/>
        </w:rPr>
      </w:pPr>
      <w:r>
        <w:t>RQ3. When forecasts and past-only uncertainty estimates enter a four-week inventory-replenishment MILP and a capacitated fulfillment MILP, how do policies differ in simulated cost, fill rate, shortages, regional service, and robustness to scenario assumptions?</w:t>
      </w:r>
    </w:p>
    <w:p w14:paraId="572B668C" w14:textId="77777777" w:rsidR="00E96B4B" w:rsidRDefault="00E96B4B">
      <w:pPr>
        <w:rPr>
          <w:rFonts w:ascii="Times New Roman" w:hAnsi="Times New Roman" w:cs="Times New Roman" w:eastAsia="Times New Roman"/>
        </w:rPr>
      </w:pPr>
    </w:p>
    <w:p w14:paraId="3709E818"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b/>
          <w:szCs w:val="21"/>
        </w:rPr>
        <w:t>6. Demand Forecasting Model</w:t>
      </w:r>
    </w:p>
    <w:p w14:paraId="1219B564" w14:textId="77777777" w:rsidR="00E96B4B" w:rsidRDefault="00000000">
      <w:pPr>
        <w:rPr>
          <w:rFonts w:ascii="Times New Roman" w:hAnsi="Times New Roman" w:cs="Times New Roman" w:eastAsia="Times New Roman"/>
          <w:b/>
          <w:bCs/>
        </w:rPr>
      </w:pPr>
      <w:r>
        <w:t>Let D with subscripts c, r, and t denote observed unit demand for category c in customer region r during week t. Two transparent benchmarks will be retained: last-week demand and a four-week moving average. The main candidate will be a pooled Ridge regression trained across all 50 related series. Features include lags at one, two, four, and eight weeks; four- and eight-week rolling means; a time trend; calendar indicators; and category and region indicators. At every forecast origin, the Ridge penalty will be selected from {1, 5, 25, 100} using only the most recent eight fully observed weeks. Pooling shares information across sparse series, while regularization and chronological tuning limit overfitting.</w:t>
      </w:r>
    </w:p>
    <w:p w14:paraId="7F507A8A" w14:textId="77777777" w:rsidR="00E96B4B" w:rsidRDefault="00000000">
      <w:pPr>
        <w:jc w:val="center"/>
        <w:rPr>
          <w:rFonts w:ascii="Times New Roman" w:hAnsi="Times New Roman" w:cs="Times New Roman" w:eastAsia="Times New Roman"/>
          <w:b/>
          <w:bCs/>
        </w:rPr>
      </w:pPr>
      <m:oMathPara>
        <m:oMath>
          <m:sSup>
            <m:sSupPr>
              <m:ctrlPr>
                <w:rPr>
                  <w:rFonts w:ascii="Times New Roman" w:hAnsi="Times New Roman" w:eastAsia="Times New Roman" w:cs="Times New Roman"/>
                </w:rPr>
              </m:ctrlPr>
            </m:sSupPr>
            <m:e>
              <m:r>
                <w:rPr>
                  <w:rFonts w:ascii="Times New Roman" w:eastAsia="Times New Roman" w:hAnsi="Times New Roman" w:cs="Times New Roman"/>
                  <w:szCs w:val="21"/>
                </w:rPr>
                <m:t>β</m:t>
              </m:r>
            </m:e>
            <m:sup>
              <m:r>
                <w:rPr>
                  <w:rFonts w:ascii="Times New Roman" w:eastAsia="Times New Roman" w:hAnsi="Times New Roman" w:cs="Times New Roman"/>
                  <w:szCs w:val="21"/>
                </w:rPr>
                <m:t>*</m:t>
              </m:r>
            </m:sup>
          </m:sSup>
          <m:r>
            <w:rPr>
              <w:rFonts w:ascii="Times New Roman" w:eastAsia="Times New Roman" w:hAnsi="Times New Roman" w:cs="Times New Roman"/>
              <w:szCs w:val="21"/>
            </w:rPr>
            <m:t>=</m:t>
          </m:r>
          <m:limLow>
            <m:limLowPr>
              <m:ctrlPr>
                <w:rPr>
                  <w:rFonts w:ascii="Times New Roman" w:hAnsi="Times New Roman" w:eastAsia="Times New Roman" w:cs="Times New Roman"/>
                </w:rPr>
              </m:ctrlPr>
            </m:limLowPr>
            <m:e>
              <m:r>
                <m:rPr>
                  <m:sty m:val="p"/>
                </m:rPr>
                <w:rPr>
                  <w:rFonts w:ascii="Times New Roman" w:eastAsia="Times New Roman" w:hAnsi="Times New Roman" w:cs="Times New Roman"/>
                  <w:szCs w:val="21"/>
                </w:rPr>
                <m:t>argmin</m:t>
              </m:r>
            </m:e>
            <m:lim>
              <m:r>
                <w:rPr>
                  <w:rFonts w:ascii="Times New Roman" w:eastAsia="Times New Roman" w:hAnsi="Times New Roman" w:cs="Times New Roman"/>
                  <w:szCs w:val="21"/>
                </w:rPr>
                <m:t>β</m:t>
              </m:r>
            </m:lim>
          </m:limLow>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(c,r,t)∈</m:t>
              </m:r>
              <m:sSub>
                <m:sSubPr>
                  <m:ctrlPr>
                    <w:rPr>
                      <w:rFonts w:ascii="Times New Roman" w:hAnsi="Times New Roman" w:eastAsia="Times New Roman" w:cs="Times New Roman"/>
                    </w:rPr>
                  </m:ctrlPr>
                </m:sSubPr>
                <m:e>
                  <m:r>
                    <w:rPr>
                      <w:rFonts w:ascii="Times New Roman" w:eastAsia="Times New Roman" w:hAnsi="Times New Roman" w:cs="Times New Roman"/>
                      <w:szCs w:val="21"/>
                    </w:rPr>
                    <m:t>T</m:t>
                  </m:r>
                </m:e>
                <m:sub>
                  <m:r>
                    <m:rPr>
                      <m:sty m:val="p"/>
                    </m:rPr>
                    <w:rPr>
                      <w:rFonts w:ascii="Times New Roman" w:eastAsia="Times New Roman" w:hAnsi="Times New Roman" w:cs="Times New Roman"/>
                      <w:szCs w:val="21"/>
                    </w:rPr>
                    <m:t>train</m:t>
                  </m:r>
                </m:sub>
              </m:sSub>
            </m:sub>
            <m:sup/>
            <m:e>
              <m:sSup>
                <m:sSupPr>
                  <m:ctrlPr>
                    <w:rPr>
                      <w:rFonts w:ascii="Times New Roman" w:hAnsi="Times New Roman" w:eastAsia="Times New Roman" w:cs="Times New Roman"/>
                    </w:rPr>
                  </m:ctrlPr>
                </m:sSupPr>
                <m:e>
                  <m:d>
                    <m:dPr>
                      <m:begChr m:val="["/>
                      <m:sepChr m:val="−"/>
                      <m:endChr m:val="]"/>
                      <m:ctrlPr>
                        <w:rPr>
                          <w:rFonts w:ascii="Times New Roman" w:hAnsi="Times New Roman" w:eastAsia="Times New Roman" w:cs="Times New Roman"/>
                        </w:rPr>
                      </m:ctrlPr>
                    </m:dPr>
                    <m:e>
                      <m:sSub>
                        <m:sSubPr>
                          <m:ctrlPr>
                            <w:rPr>
                              <w:rFonts w:ascii="Times New Roman" w:hAnsi="Times New Roman" w:eastAsia="Times New Roman" w:cs="Times New Roman"/>
                            </w:rPr>
                          </m:ctrlPr>
                        </m:sSubPr>
                        <m:e>
                          <m:r>
                            <w:rPr>
                              <w:rFonts w:ascii="Times New Roman" w:eastAsia="Times New Roman" w:hAnsi="Times New Roman" w:cs="Times New Roman"/>
                              <w:szCs w:val="21"/>
                            </w:rPr>
                            <m:t>D</m:t>
                          </m:r>
                        </m:e>
                        <m:sub>
                          <m:r>
                            <w:rPr>
                              <w:rFonts w:ascii="Times New Roman" w:eastAsia="Times New Roman" w:hAnsi="Times New Roman" w:cs="Times New Roman"/>
                              <w:szCs w:val="21"/>
                            </w:rPr>
                            <m:t>c,r,t</m:t>
                          </m:r>
                        </m:sub>
                      </m:sSub>
                    </m:e>
                    <m:e>
                      <m:sSub>
                        <m:sSubPr>
                          <m:ctrlPr>
                            <w:rPr>
                              <w:rFonts w:ascii="Times New Roman" w:hAnsi="Times New Roman" w:eastAsia="Times New Roman" w:cs="Times New Roman"/>
                            </w:rPr>
                          </m:ctrlPr>
                        </m:sSubPr>
                        <m:e>
                          <m:r>
                            <w:rPr>
                              <w:rFonts w:ascii="Times New Roman" w:eastAsia="Times New Roman" w:hAnsi="Times New Roman" w:cs="Times New Roman"/>
                              <w:szCs w:val="21"/>
                            </w:rPr>
                            <m:t>β</m:t>
                          </m:r>
                        </m:e>
                        <m:sub>
                          <m:r>
                            <w:rPr>
                              <w:rFonts w:ascii="Times New Roman" w:eastAsia="Times New Roman" w:hAnsi="Times New Roman" w:cs="Times New Roman"/>
                              <w:szCs w:val="21"/>
                            </w:rPr>
                            <m:t>0</m:t>
                          </m:r>
                        </m:sub>
                      </m:sSub>
                    </m:e>
                    <m:e>
                      <m:sSubSup>
                        <m:sSubSupPr>
                          <m:ctrlPr>
                            <w:rPr>
                              <w:rFonts w:ascii="Times New Roman" w:hAnsi="Times New Roman" w:eastAsia="Times New Roman" w:cs="Times New Roman"/>
                            </w:rPr>
                          </m:ctrlPr>
                        </m:sSubSupPr>
                        <m:e>
                          <m:r>
                            <w:rPr>
                              <w:rFonts w:ascii="Times New Roman" w:eastAsia="Times New Roman" w:hAnsi="Times New Roman" w:cs="Times New Roman"/>
                              <w:szCs w:val="21"/>
                            </w:rPr>
                            <m:t>z</m:t>
                          </m:r>
                        </m:e>
                        <m:sub>
                          <m:r>
                            <w:rPr>
                              <w:rFonts w:ascii="Times New Roman" w:eastAsia="Times New Roman" w:hAnsi="Times New Roman" w:cs="Times New Roman"/>
                              <w:szCs w:val="21"/>
                            </w:rPr>
                            <m:t>c,r,t</m:t>
                          </m:r>
                        </m:sub>
                        <m:sup>
                          <m:r>
                            <w:rPr>
                              <w:rFonts w:ascii="Times New Roman" w:eastAsia="Times New Roman" w:hAnsi="Times New Roman" w:cs="Times New Roman"/>
                              <w:szCs w:val="21"/>
                            </w:rPr>
                            <m:t>T</m:t>
                          </m:r>
                        </m:sup>
                      </m:sSubSup>
                      <m:r>
                        <w:rPr>
                          <w:rFonts w:ascii="Times New Roman" w:eastAsia="Times New Roman" w:hAnsi="Times New Roman" w:cs="Times New Roman"/>
                          <w:szCs w:val="21"/>
                        </w:rPr>
                        <m:t>β</m:t>
                      </m:r>
                    </m:e>
                  </m:d>
                </m:e>
                <m:sup>
                  <m:r>
                    <w:rPr>
                      <w:rFonts w:ascii="Times New Roman" w:eastAsia="Times New Roman" w:hAnsi="Times New Roman" w:cs="Times New Roman"/>
                      <w:szCs w:val="21"/>
                    </w:rPr>
                    <m:t>2</m:t>
                  </m:r>
                </m:sup>
              </m:sSup>
            </m:e>
          </m:nary>
          <m:r>
            <w:rPr>
              <w:rFonts w:ascii="Times New Roman" w:eastAsia="Times New Roman" w:hAnsi="Times New Roman" w:cs="Times New Roman"/>
              <w:szCs w:val="21"/>
            </w:rPr>
            <m:t>+λ</m:t>
          </m:r>
          <m:nary>
            <m:naryPr>
              <m:chr m:val="∑"/>
              <m:limLoc m:val="undOvr"/>
              <m:grow m:val="1"/>
              <m:ctrlPr>
                <w:rPr>
                  <w:rFonts w:ascii="Times New Roman" w:hAnsi="Times New Roman" w:eastAsia="Times New Roman" w:cs="Times New Roman"/>
                </w:rPr>
              </m:ctrlPr>
            </m:naryPr>
            <m:sub>
              <m:r>
                <w:rPr>
                  <w:rFonts w:ascii="Times New Roman" w:eastAsia="Times New Roman" w:hAnsi="Times New Roman" w:cs="Times New Roman"/>
                  <w:szCs w:val="21"/>
                </w:rPr>
                <m:t>j=1</m:t>
              </m:r>
            </m:sub>
            <m:sup>
              <m:r>
                <w:rPr>
                  <w:rFonts w:ascii="Times New Roman" w:eastAsia="Times New Roman" w:hAnsi="Times New Roman" w:cs="Times New Roman"/>
                  <w:szCs w:val="21"/>
                </w:rPr>
                <m:t>p</m:t>
              </m:r>
            </m:sup>
            <m:e>
              <m:sSubSup>
                <m:sSubSupPr>
                  <m:ctrlPr>
                    <w:rPr>
                      <w:rFonts w:ascii="Times New Roman" w:hAnsi="Times New Roman" w:eastAsia="Times New Roman" w:cs="Times New Roman"/>
                    </w:rPr>
                  </m:ctrlPr>
                </m:sSubSupPr>
                <m:e>
                  <m:r>
                    <w:rPr>
                      <w:rFonts w:ascii="Times New Roman" w:eastAsia="Times New Roman" w:hAnsi="Times New Roman" w:cs="Times New Roman"/>
                      <w:szCs w:val="21"/>
                    </w:rPr>
                    <m:t>β</m:t>
                  </m:r>
                </m:e>
                <m:sub>
                  <m:r>
                    <w:rPr>
                      <w:rFonts w:ascii="Times New Roman" w:eastAsia="Times New Roman" w:hAnsi="Times New Roman" w:cs="Times New Roman"/>
                      <w:szCs w:val="21"/>
                    </w:rPr>
                    <m:t>j</m:t>
                  </m:r>
                </m:sub>
                <m:sup>
                  <m:r>
                    <w:rPr>
                      <w:rFonts w:ascii="Times New Roman" w:eastAsia="Times New Roman" w:hAnsi="Times New Roman" w:cs="Times New Roman"/>
                      <w:szCs w:val="21"/>
                    </w:rPr>
                    <m:t>2</m:t>
                  </m:r>
                </m:sup>
              </m:sSubSup>
            </m:e>
          </m:nary>
        </m:oMath>
      </m:oMathPara>
    </w:p>
    <w:p w14:paraId="4D7A0FB2" w14:textId="77777777" w:rsidR="00E96B4B" w:rsidRDefault="00000000">
      <w:pPr>
        <w:jc w:val="center"/>
        <w:rPr>
          <w:rFonts w:ascii="Times New Roman" w:hAnsi="Times New Roman" w:cs="Times New Roman" w:eastAsia="Times New Roman"/>
          <w:b/>
          <w:bCs/>
        </w:rPr>
      </w:pPr>
      <m:oMathPara>
        <m:oMath>
          <m:sSub>
            <m:sSubPr>
              <m:ctrlPr>
                <w:rPr>
                  <w:rFonts w:ascii="Times New Roman" w:hAnsi="Times New Roman" w:eastAsia="Times New Roman" w:cs="Times New Roman"/>
                </w:rPr>
              </m:ctrlPr>
            </m:sSubPr>
            <m:e>
              <m:acc>
                <m:accPr>
                  <m:ctrlPr>
                    <w:rPr>
                      <w:rFonts w:ascii="Times New Roman" w:hAnsi="Times New Roman" w:eastAsia="Times New Roman" w:cs="Times New Roman"/>
                    </w:rPr>
                  </m:ctrlPr>
                </m:accPr>
                <m:e>
                  <m:r>
                    <w:rPr>
                      <w:rFonts w:ascii="Times New Roman" w:eastAsia="Times New Roman" w:hAnsi="Times New Roman" w:cs="Times New Roman"/>
                      <w:szCs w:val="21"/>
                    </w:rPr>
                    <m:t>D</m:t>
                  </m:r>
                </m:e>
              </m:acc>
            </m:e>
            <m:sub>
              <m:r>
                <w:rPr>
                  <w:rFonts w:ascii="Times New Roman" w:eastAsia="Times New Roman" w:hAnsi="Times New Roman" w:cs="Times New Roman"/>
                  <w:szCs w:val="21"/>
                </w:rPr>
                <m:t>c,r,t+h</m:t>
              </m:r>
            </m:sub>
          </m:sSub>
          <m:r>
            <w:rPr>
              <w:rFonts w:ascii="Times New Roman" w:eastAsia="Times New Roman" w:hAnsi="Times New Roman" w:cs="Times New Roman"/>
              <w:szCs w:val="21"/>
            </w:rPr>
            <m:t>=</m:t>
          </m:r>
          <m:r>
            <m:rPr>
              <m:sty m:val="p"/>
            </m:rPr>
            <w:rPr>
              <w:rFonts w:ascii="Times New Roman" w:eastAsia="Times New Roman" w:hAnsi="Times New Roman" w:cs="Times New Roman"/>
              <w:szCs w:val="21"/>
            </w:rPr>
            <m:t>max</m:t>
          </m:r>
          <m:r>
            <w:rPr>
              <w:rFonts w:ascii="Times New Roman" w:eastAsia="Times New Roman" w:hAnsi="Times New Roman" w:cs="Times New Roman"/>
              <w:szCs w:val="21"/>
            </w:rPr>
            <m:t>{0,</m:t>
          </m:r>
          <m:sSubSup>
            <m:sSubSupPr>
              <m:ctrlPr>
                <w:rPr>
                  <w:rFonts w:ascii="Times New Roman" w:hAnsi="Times New Roman" w:eastAsia="Times New Roman" w:cs="Times New Roman"/>
                </w:rPr>
              </m:ctrlPr>
            </m:sSubSupPr>
            <m:e>
              <m:r>
                <w:rPr>
                  <w:rFonts w:ascii="Times New Roman" w:eastAsia="Times New Roman" w:hAnsi="Times New Roman" w:cs="Times New Roman"/>
                  <w:szCs w:val="21"/>
                </w:rPr>
                <m:t>β</m:t>
              </m:r>
            </m:e>
            <m:sub>
              <m:r>
                <w:rPr>
                  <w:rFonts w:ascii="Times New Roman" w:eastAsia="Times New Roman" w:hAnsi="Times New Roman" w:cs="Times New Roman"/>
                  <w:szCs w:val="21"/>
                </w:rPr>
                <m:t>0</m:t>
              </m:r>
            </m:sub>
            <m:sup>
              <m:r>
                <w:rPr>
                  <w:rFonts w:ascii="Times New Roman" w:eastAsia="Times New Roman" w:hAnsi="Times New Roman" w:cs="Times New Roman"/>
                  <w:szCs w:val="21"/>
                </w:rPr>
                <m:t>*</m:t>
              </m:r>
            </m:sup>
          </m:sSubSup>
          <m:r>
            <w:rPr>
              <w:rFonts w:ascii="Times New Roman" w:eastAsia="Times New Roman" w:hAnsi="Times New Roman" w:cs="Times New Roman"/>
              <w:szCs w:val="21"/>
            </w:rPr>
            <m:t>+</m:t>
          </m:r>
          <m:sSubSup>
            <m:sSubSupPr>
              <m:ctrlPr>
                <w:rPr>
                  <w:rFonts w:ascii="Times New Roman" w:hAnsi="Times New Roman" w:eastAsia="Times New Roman" w:cs="Times New Roman"/>
                </w:rPr>
              </m:ctrlPr>
            </m:sSubSupPr>
            <m:e>
              <m:r>
                <w:rPr>
                  <w:rFonts w:ascii="Times New Roman" w:eastAsia="Times New Roman" w:hAnsi="Times New Roman" w:cs="Times New Roman"/>
                  <w:szCs w:val="21"/>
                </w:rPr>
                <m:t>z</m:t>
              </m:r>
            </m:e>
            <m:sub>
              <m:r>
                <w:rPr>
                  <w:rFonts w:ascii="Times New Roman" w:eastAsia="Times New Roman" w:hAnsi="Times New Roman" w:cs="Times New Roman"/>
                  <w:szCs w:val="21"/>
                </w:rPr>
                <m:t>c,r,t;h</m:t>
              </m:r>
            </m:sub>
            <m:sup>
              <m:r>
                <w:rPr>
                  <w:rFonts w:ascii="Times New Roman" w:eastAsia="Times New Roman" w:hAnsi="Times New Roman" w:cs="Times New Roman"/>
                  <w:szCs w:val="21"/>
                </w:rPr>
                <m:t>T</m:t>
              </m:r>
            </m:sup>
          </m:sSubSup>
          <m:sSup>
            <m:sSupPr>
              <m:ctrlPr>
                <w:rPr>
                  <w:rFonts w:ascii="Times New Roman" w:hAnsi="Times New Roman" w:eastAsia="Times New Roman" w:cs="Times New Roman"/>
                </w:rPr>
              </m:ctrlPr>
            </m:sSupPr>
            <m:e>
              <m:r>
                <w:rPr>
                  <w:rFonts w:ascii="Times New Roman" w:eastAsia="Times New Roman" w:hAnsi="Times New Roman" w:cs="Times New Roman"/>
                  <w:szCs w:val="21"/>
                </w:rPr>
                <m:t>β</m:t>
              </m:r>
            </m:e>
            <m:sup>
              <m:r>
                <w:rPr>
                  <w:rFonts w:ascii="Times New Roman" w:eastAsia="Times New Roman" w:hAnsi="Times New Roman" w:cs="Times New Roman"/>
                  <w:szCs w:val="21"/>
                </w:rPr>
                <m:t>*</m:t>
              </m:r>
            </m:sup>
          </m:sSup>
          <m:r>
            <w:rPr>
              <w:rFonts w:ascii="Times New Roman" w:eastAsia="Times New Roman" w:hAnsi="Times New Roman" w:cs="Times New Roman"/>
              <w:szCs w:val="21"/>
            </w:rPr>
            <m:t>}</m:t>
          </m:r>
        </m:oMath>
      </m:oMathPara>
    </w:p>
    <w:p w14:paraId="5EB8FA67" w14:textId="77777777" w:rsidR="00E96B4B" w:rsidRDefault="00000000">
      <w:pPr>
        <w:rPr>
          <w:rFonts w:ascii="Times New Roman" w:hAnsi="Times New Roman" w:cs="Times New Roman" w:eastAsia="Times New Roman"/>
          <w:b/>
          <w:bCs/>
        </w:rPr>
      </w:pPr>
      <w:r>
        <w:t>Forecasts will be estimated using an expanding-window rolling-origin design. Every lag, rolling feature, hyperparameter choice, and residual statistic will use only information available before the forecast origin. Forecast performance will be reported with WAPE, MAE, and signed bias at aggregate and category-region levels. Segment-level winners will also be reported so that aggregate accuracy does not hide important regional or category differences.</w:t>
      </w:r>
    </w:p>
    <w:p w14:paraId="796B19FB" w14:textId="77777777" w:rsidR="00E96B4B" w:rsidRDefault="00E96B4B">
      <w:pPr>
        <w:rPr>
          <w:rFonts w:ascii="Times New Roman" w:hAnsi="Times New Roman" w:cs="Times New Roman" w:eastAsia="Times New Roman"/>
        </w:rPr>
      </w:pPr>
    </w:p>
    <w:p w14:paraId="1CD0A6D9"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b/>
          <w:szCs w:val="21"/>
        </w:rPr>
        <w:t>7. Converting Forecasts into OR Inputs</w:t>
      </w:r>
    </w:p>
    <w:p w14:paraId="0B9DA5A2" w14:textId="77777777" w:rsidR="00E96B4B" w:rsidRDefault="00000000">
      <w:pPr>
        <w:rPr>
          <w:rFonts w:ascii="Times New Roman" w:hAnsi="Times New Roman" w:cs="Times New Roman" w:eastAsia="Times New Roman"/>
          <w:b/>
          <w:bCs/>
        </w:rPr>
      </w:pPr>
      <w:r>
        <w:t>The optimization model will not treat a point forecast as certain demand. Let s denote the mean absolute forecast error for each category-region series, estimated from the latest eight chronological holdout weeks available at the decision time, and let zeta be a safety multiplier. Each forecasting method receives its own past-only error scale. The safety-adjusted planning demand is:</w:t>
      </w:r>
    </w:p>
    <w:p w14:paraId="39E7E050" w14:textId="77777777" w:rsidR="00E96B4B" w:rsidRDefault="00000000">
      <w:pPr>
        <w:jc w:val="center"/>
        <w:rPr>
          <w:rFonts w:ascii="Times New Roman" w:hAnsi="Times New Roman" w:cs="Times New Roman" w:eastAsia="Times New Roman"/>
          <w:b/>
          <w:bCs/>
        </w:rPr>
      </w:pPr>
      <m:oMathPara>
        <m:oMath>
          <m:sSub>
            <m:sSubPr>
              <m:ctrlPr>
                <w:rPr>
                  <w:rFonts w:ascii="Times New Roman" w:hAnsi="Times New Roman" w:eastAsia="Times New Roman" w:cs="Times New Roman"/>
                </w:rPr>
              </m:ctrlPr>
            </m:sSubPr>
            <m:e>
              <m:acc>
                <m:accPr>
                  <m:chr m:val="̃"/>
                  <m:ctrlPr>
                    <w:rPr>
                      <w:rFonts w:ascii="Times New Roman" w:hAnsi="Times New Roman" w:eastAsia="Times New Roman" w:cs="Times New Roman"/>
                    </w:rPr>
                  </m:ctrlPr>
                </m:accPr>
                <m:e>
                  <m:r>
                    <w:rPr>
                      <w:rFonts w:ascii="Times New Roman" w:eastAsia="Times New Roman" w:hAnsi="Times New Roman" w:cs="Times New Roman"/>
                      <w:szCs w:val="21"/>
                    </w:rPr>
                    <m:t>D</m:t>
                  </m:r>
                </m:e>
              </m:acc>
            </m:e>
            <m:sub>
              <m:r>
                <w:rPr>
                  <w:rFonts w:ascii="Times New Roman" w:eastAsia="Times New Roman" w:hAnsi="Times New Roman" w:cs="Times New Roman"/>
                  <w:szCs w:val="21"/>
                </w:rPr>
                <m:t>c,r,t</m:t>
              </m:r>
            </m:sub>
          </m:sSub>
          <m:r>
            <w:rPr>
              <w:rFonts w:ascii="Times New Roman" w:eastAsia="Times New Roman" w:hAnsi="Times New Roman" w:cs="Times New Roman"/>
              <w:szCs w:val="21"/>
            </w:rPr>
            <m:t>=</m:t>
          </m:r>
          <m:r>
            <m:rPr>
              <m:sty m:val="p"/>
            </m:rPr>
            <w:rPr>
              <w:rFonts w:ascii="Times New Roman" w:eastAsia="Times New Roman" w:hAnsi="Times New Roman" w:cs="Times New Roman"/>
              <w:szCs w:val="21"/>
            </w:rPr>
            <m:t>max</m:t>
          </m:r>
          <m:r>
            <w:rPr>
              <w:rFonts w:ascii="Times New Roman" w:eastAsia="Times New Roman" w:hAnsi="Times New Roman" w:cs="Times New Roman"/>
              <w:szCs w:val="21"/>
            </w:rPr>
            <m:t>{0,</m:t>
          </m:r>
          <m:sSub>
            <m:sSubPr>
              <m:ctrlPr>
                <w:rPr>
                  <w:rFonts w:ascii="Times New Roman" w:hAnsi="Times New Roman" w:eastAsia="Times New Roman" w:cs="Times New Roman"/>
                </w:rPr>
              </m:ctrlPr>
            </m:sSubPr>
            <m:e>
              <m:acc>
                <m:accPr>
                  <m:ctrlPr>
                    <w:rPr>
                      <w:rFonts w:ascii="Times New Roman" w:hAnsi="Times New Roman" w:eastAsia="Times New Roman" w:cs="Times New Roman"/>
                    </w:rPr>
                  </m:ctrlPr>
                </m:accPr>
                <m:e>
                  <m:r>
                    <w:rPr>
                      <w:rFonts w:ascii="Times New Roman" w:eastAsia="Times New Roman" w:hAnsi="Times New Roman" w:cs="Times New Roman"/>
                      <w:szCs w:val="21"/>
                    </w:rPr>
                    <m:t>D</m:t>
                  </m:r>
                </m:e>
              </m:acc>
            </m:e>
            <m:sub>
              <m:r>
                <w:rPr>
                  <w:rFonts w:ascii="Times New Roman" w:eastAsia="Times New Roman" w:hAnsi="Times New Roman" w:cs="Times New Roman"/>
                  <w:szCs w:val="21"/>
                </w:rPr>
                <m:t>c,r,t</m:t>
              </m:r>
            </m:sub>
          </m:sSub>
          <m:r>
            <w:rPr>
              <w:rFonts w:ascii="Times New Roman" w:eastAsia="Times New Roman" w:hAnsi="Times New Roman" w:cs="Times New Roman"/>
              <w:szCs w:val="21"/>
            </w:rPr>
            <m:t>+ζ</m:t>
          </m:r>
          <m:sSub>
            <m:sSubPr>
              <m:ctrlPr>
                <w:rPr>
                  <w:rFonts w:ascii="Times New Roman" w:hAnsi="Times New Roman" w:eastAsia="Times New Roman" w:cs="Times New Roman"/>
                </w:rPr>
              </m:ctrlPr>
            </m:sSubPr>
            <m:e>
              <m:r>
                <w:rPr>
                  <w:rFonts w:ascii="Times New Roman" w:eastAsia="Times New Roman" w:hAnsi="Times New Roman" w:cs="Times New Roman"/>
                  <w:szCs w:val="21"/>
                </w:rPr>
                <m:t>s</m:t>
              </m:r>
            </m:e>
            <m:sub>
              <m:r>
                <w:rPr>
                  <w:rFonts w:ascii="Times New Roman" w:eastAsia="Times New Roman" w:hAnsi="Times New Roman" w:cs="Times New Roman"/>
                  <w:szCs w:val="21"/>
                </w:rPr>
                <m:t>c,r</m:t>
              </m:r>
            </m:sub>
          </m:sSub>
          <m:r>
            <w:rPr>
              <w:rFonts w:ascii="Times New Roman" w:eastAsia="Times New Roman" w:hAnsi="Times New Roman" w:cs="Times New Roman"/>
              <w:szCs w:val="21"/>
            </w:rPr>
            <m:t>}</m:t>
          </m:r>
        </m:oMath>
      </m:oMathPara>
    </w:p>
    <w:p w14:paraId="0F953A34"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szCs w:val="21"/>
        </w:rPr>
        <w:t>A larger safety multiplier protects service but may increase holding cost. The base scenario will use zeta = 0.50, and alternative values will be evaluated. Forecasts will also determine the regional distribution of planned demand. Opening inventory, capacity, and costs will be generated separately from historical supply, weight, price, and freight statistics so that prediction variables and scenario assumptions remain auditable.</w:t>
      </w:r>
    </w:p>
    <w:p w14:paraId="6AE687E6" w14:textId="77777777" w:rsidR="00E96B4B" w:rsidRDefault="00E96B4B">
      <w:pPr>
        <w:rPr>
          <w:rFonts w:ascii="Times New Roman" w:hAnsi="Times New Roman" w:cs="Times New Roman" w:eastAsia="Times New Roman"/>
        </w:rPr>
      </w:pPr>
    </w:p>
    <w:p w14:paraId="28F86670"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b/>
          <w:szCs w:val="21"/>
        </w:rPr>
        <w:t>8. Mathematical Optimization Model</w:t>
      </w:r>
    </w:p>
    <w:p w14:paraId="5C7E8F1B"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b/>
          <w:szCs w:val="21"/>
        </w:rPr>
        <w:t>8.1 Stage A: forecast-driven inventory plan</w:t>
      </w:r>
    </w:p>
    <w:p w14:paraId="7E44F664" w14:textId="77777777" w:rsidR="00E96B4B" w:rsidRDefault="00000000">
      <w:pPr>
        <w:rPr>
          <w:rFonts w:ascii="Times New Roman" w:hAnsi="Times New Roman" w:cs="Times New Roman" w:eastAsia="Times New Roman"/>
          <w:b/>
          <w:bCs/>
        </w:rPr>
      </w:pPr>
      <w:r>
        <w:t>Stage A is a four-week multi-period inventory-replenishment MILP. Indices are proxy hub i, category c, customer region r, and week t. Decision q is replenishment, x is planned fulfillment, I is ending inventory, and u is planned shortage. Parameters p, h, pi, and c-bar represent procurement, holding, shortage, and risk-adjusted route costs. Replenishment ordered in week t arrives after the scenario lead time. The objective is:</w:t>
      </w:r>
    </w:p>
    <w:p w14:paraId="36AD56A3" w14:textId="77777777" w:rsidR="00E96B4B" w:rsidRDefault="00000000">
      <w:pPr>
        <w:jc w:val="center"/>
        <w:rPr>
          <w:rFonts w:ascii="Times New Roman" w:hAnsi="Times New Roman" w:cs="Times New Roman" w:eastAsia="Times New Roman"/>
          <w:b/>
          <w:bCs/>
        </w:rPr>
      </w:pPr>
      <m:oMathPara>
        <m:oMath>
          <m:r>
            <m:rPr>
              <m:sty m:val="p"/>
            </m:rPr>
            <w:rPr>
              <w:rFonts w:ascii="Times New Roman" w:eastAsia="Times New Roman" w:hAnsi="Times New Roman" w:cs="Times New Roman"/>
              <w:szCs w:val="21"/>
            </w:rPr>
            <m:t>min</m:t>
          </m:r>
          <m:sSub>
            <m:sSubPr>
              <m:ctrlPr>
                <w:rPr>
                  <w:rFonts w:ascii="Times New Roman" w:hAnsi="Times New Roman" w:eastAsia="Times New Roman" w:cs="Times New Roman"/>
                </w:rPr>
              </m:ctrlPr>
            </m:sSubPr>
            <m:e>
              <m:r>
                <w:rPr>
                  <w:rFonts w:ascii="Times New Roman" w:eastAsia="Times New Roman" w:hAnsi="Times New Roman" w:cs="Times New Roman"/>
                  <w:szCs w:val="21"/>
                </w:rPr>
                <m:t>Z</m:t>
              </m:r>
            </m:e>
            <m:sub>
              <m:r>
                <w:rPr>
                  <w:rFonts w:ascii="Times New Roman" w:eastAsia="Times New Roman" w:hAnsi="Times New Roman" w:cs="Times New Roman"/>
                  <w:szCs w:val="21"/>
                </w:rPr>
                <m:t>A</m:t>
              </m:r>
            </m:sub>
          </m:sSub>
          <m:r>
            <w:rPr>
              <w:rFonts w:ascii="Times New Roman" w:eastAsia="Times New Roman" w:hAnsi="Times New Roman" w:cs="Times New Roman"/>
              <w:szCs w:val="21"/>
            </w:rPr>
            <m:t>=</m:t>
          </m:r>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i,c,t</m:t>
              </m:r>
            </m:sub>
            <m:sup/>
            <m:e>
              <m:sSub>
                <m:sSubPr>
                  <m:ctrlPr>
                    <w:rPr>
                      <w:rFonts w:ascii="Times New Roman" w:hAnsi="Times New Roman" w:eastAsia="Times New Roman" w:cs="Times New Roman"/>
                    </w:rPr>
                  </m:ctrlPr>
                </m:sSubPr>
                <m:e>
                  <m:r>
                    <w:rPr>
                      <w:rFonts w:ascii="Times New Roman" w:eastAsia="Times New Roman" w:hAnsi="Times New Roman" w:cs="Times New Roman"/>
                      <w:szCs w:val="21"/>
                    </w:rPr>
                    <m:t>p</m:t>
                  </m:r>
                </m:e>
                <m:sub>
                  <m:r>
                    <w:rPr>
                      <w:rFonts w:ascii="Times New Roman" w:eastAsia="Times New Roman" w:hAnsi="Times New Roman" w:cs="Times New Roman"/>
                      <w:szCs w:val="21"/>
                    </w:rPr>
                    <m:t>i,c</m:t>
                  </m:r>
                </m:sub>
              </m:sSub>
            </m:e>
          </m:nary>
          <m:sSub>
            <m:sSubPr>
              <m:ctrlPr>
                <w:rPr>
                  <w:rFonts w:ascii="Times New Roman" w:hAnsi="Times New Roman" w:eastAsia="Times New Roman" w:cs="Times New Roman"/>
                </w:rPr>
              </m:ctrlPr>
            </m:sSubPr>
            <m:e>
              <m:r>
                <w:rPr>
                  <w:rFonts w:ascii="Times New Roman" w:eastAsia="Times New Roman" w:hAnsi="Times New Roman" w:cs="Times New Roman"/>
                  <w:szCs w:val="21"/>
                </w:rPr>
                <m:t>q</m:t>
              </m:r>
            </m:e>
            <m:sub>
              <m:r>
                <w:rPr>
                  <w:rFonts w:ascii="Times New Roman" w:eastAsia="Times New Roman" w:hAnsi="Times New Roman" w:cs="Times New Roman"/>
                  <w:szCs w:val="21"/>
                </w:rPr>
                <m:t>i,c,t</m:t>
              </m:r>
            </m:sub>
          </m:sSub>
          <m:r>
            <w:rPr>
              <w:rFonts w:ascii="Times New Roman" w:eastAsia="Times New Roman" w:hAnsi="Times New Roman" w:cs="Times New Roman"/>
              <w:szCs w:val="21"/>
            </w:rPr>
            <m:t>+</m:t>
          </m:r>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i,c,r,t</m:t>
              </m:r>
            </m:sub>
            <m:sup/>
            <m:e>
              <m:sSub>
                <m:sSubPr>
                  <m:ctrlPr>
                    <w:rPr>
                      <w:rFonts w:ascii="Times New Roman" w:hAnsi="Times New Roman" w:eastAsia="Times New Roman" w:cs="Times New Roman"/>
                    </w:rPr>
                  </m:ctrlPr>
                </m:sSubPr>
                <m:e>
                  <m:acc>
                    <m:accPr>
                      <m:chr m:val="̅"/>
                      <m:ctrlPr>
                        <w:rPr>
                          <w:rFonts w:ascii="Times New Roman" w:hAnsi="Times New Roman" w:eastAsia="Times New Roman" w:cs="Times New Roman"/>
                        </w:rPr>
                      </m:ctrlPr>
                    </m:accPr>
                    <m:e>
                      <m:r>
                        <w:rPr>
                          <w:rFonts w:ascii="Times New Roman" w:eastAsia="Times New Roman" w:hAnsi="Times New Roman" w:cs="Times New Roman"/>
                          <w:szCs w:val="21"/>
                        </w:rPr>
                        <m:t>c</m:t>
                      </m:r>
                    </m:e>
                  </m:acc>
                </m:e>
                <m:sub>
                  <m:r>
                    <w:rPr>
                      <w:rFonts w:ascii="Times New Roman" w:eastAsia="Times New Roman" w:hAnsi="Times New Roman" w:cs="Times New Roman"/>
                      <w:szCs w:val="21"/>
                    </w:rPr>
                    <m:t>i,c,r,t</m:t>
                  </m:r>
                </m:sub>
              </m:sSub>
            </m:e>
          </m:nary>
          <m:sSub>
            <m:sSubPr>
              <m:ctrlPr>
                <w:rPr>
                  <w:rFonts w:ascii="Times New Roman" w:hAnsi="Times New Roman" w:eastAsia="Times New Roman" w:cs="Times New Roman"/>
                </w:rPr>
              </m:ctrlPr>
            </m:sSubPr>
            <m:e>
              <m:r>
                <w:rPr>
                  <w:rFonts w:ascii="Times New Roman" w:eastAsia="Times New Roman" w:hAnsi="Times New Roman" w:cs="Times New Roman"/>
                  <w:szCs w:val="21"/>
                </w:rPr>
                <m:t>x</m:t>
              </m:r>
            </m:e>
            <m:sub>
              <m:r>
                <w:rPr>
                  <w:rFonts w:ascii="Times New Roman" w:eastAsia="Times New Roman" w:hAnsi="Times New Roman" w:cs="Times New Roman"/>
                  <w:szCs w:val="21"/>
                </w:rPr>
                <m:t>i,c,r,t</m:t>
              </m:r>
            </m:sub>
          </m:sSub>
          <m:r>
            <w:rPr>
              <w:rFonts w:ascii="Times New Roman" w:eastAsia="Times New Roman" w:hAnsi="Times New Roman" w:cs="Times New Roman"/>
              <w:szCs w:val="21"/>
            </w:rPr>
            <m:t>+</m:t>
          </m:r>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i,c,t</m:t>
              </m:r>
            </m:sub>
            <m:sup/>
            <m:e>
              <m:sSub>
                <m:sSubPr>
                  <m:ctrlPr>
                    <w:rPr>
                      <w:rFonts w:ascii="Times New Roman" w:hAnsi="Times New Roman" w:eastAsia="Times New Roman" w:cs="Times New Roman"/>
                    </w:rPr>
                  </m:ctrlPr>
                </m:sSubPr>
                <m:e>
                  <m:r>
                    <w:rPr>
                      <w:rFonts w:ascii="Times New Roman" w:eastAsia="Times New Roman" w:hAnsi="Times New Roman" w:cs="Times New Roman"/>
                      <w:szCs w:val="21"/>
                    </w:rPr>
                    <m:t>h</m:t>
                  </m:r>
                </m:e>
                <m:sub>
                  <m:r>
                    <w:rPr>
                      <w:rFonts w:ascii="Times New Roman" w:eastAsia="Times New Roman" w:hAnsi="Times New Roman" w:cs="Times New Roman"/>
                      <w:szCs w:val="21"/>
                    </w:rPr>
                    <m:t>c</m:t>
                  </m:r>
                </m:sub>
              </m:sSub>
            </m:e>
          </m:nary>
          <m:sSub>
            <m:sSubPr>
              <m:ctrlPr>
                <w:rPr>
                  <w:rFonts w:ascii="Times New Roman" w:hAnsi="Times New Roman" w:eastAsia="Times New Roman" w:cs="Times New Roman"/>
                </w:rPr>
              </m:ctrlPr>
            </m:sSubPr>
            <m:e>
              <m:r>
                <w:rPr>
                  <w:rFonts w:ascii="Times New Roman" w:eastAsia="Times New Roman" w:hAnsi="Times New Roman" w:cs="Times New Roman"/>
                  <w:szCs w:val="21"/>
                </w:rPr>
                <m:t>I</m:t>
              </m:r>
            </m:e>
            <m:sub>
              <m:r>
                <w:rPr>
                  <w:rFonts w:ascii="Times New Roman" w:eastAsia="Times New Roman" w:hAnsi="Times New Roman" w:cs="Times New Roman"/>
                  <w:szCs w:val="21"/>
                </w:rPr>
                <m:t>i,c,t</m:t>
              </m:r>
            </m:sub>
          </m:sSub>
          <m:r>
            <w:rPr>
              <w:rFonts w:ascii="Times New Roman" w:eastAsia="Times New Roman" w:hAnsi="Times New Roman" w:cs="Times New Roman"/>
              <w:szCs w:val="21"/>
            </w:rPr>
            <m:t>+</m:t>
          </m:r>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c,r,t</m:t>
              </m:r>
            </m:sub>
            <m:sup/>
            <m:e>
              <m:sSub>
                <m:sSubPr>
                  <m:ctrlPr>
                    <w:rPr>
                      <w:rFonts w:ascii="Times New Roman" w:hAnsi="Times New Roman" w:eastAsia="Times New Roman" w:cs="Times New Roman"/>
                    </w:rPr>
                  </m:ctrlPr>
                </m:sSubPr>
                <m:e>
                  <m:r>
                    <w:rPr>
                      <w:rFonts w:ascii="Times New Roman" w:eastAsia="Times New Roman" w:hAnsi="Times New Roman" w:cs="Times New Roman"/>
                      <w:szCs w:val="21"/>
                    </w:rPr>
                    <m:t>π</m:t>
                  </m:r>
                </m:e>
                <m:sub>
                  <m:r>
                    <w:rPr>
                      <w:rFonts w:ascii="Times New Roman" w:eastAsia="Times New Roman" w:hAnsi="Times New Roman" w:cs="Times New Roman"/>
                      <w:szCs w:val="21"/>
                    </w:rPr>
                    <m:t>c</m:t>
                  </m:r>
                </m:sub>
              </m:sSub>
            </m:e>
          </m:nary>
          <m:sSub>
            <m:sSubPr>
              <m:ctrlPr>
                <w:rPr>
                  <w:rFonts w:ascii="Times New Roman" w:hAnsi="Times New Roman" w:eastAsia="Times New Roman" w:cs="Times New Roman"/>
                </w:rPr>
              </m:ctrlPr>
            </m:sSubPr>
            <m:e>
              <m:r>
                <w:rPr>
                  <w:rFonts w:ascii="Times New Roman" w:eastAsia="Times New Roman" w:hAnsi="Times New Roman" w:cs="Times New Roman"/>
                  <w:szCs w:val="21"/>
                </w:rPr>
                <m:t>u</m:t>
              </m:r>
            </m:e>
            <m:sub>
              <m:r>
                <w:rPr>
                  <w:rFonts w:ascii="Times New Roman" w:eastAsia="Times New Roman" w:hAnsi="Times New Roman" w:cs="Times New Roman"/>
                  <w:szCs w:val="21"/>
                </w:rPr>
                <m:t>c,r,t</m:t>
              </m:r>
            </m:sub>
          </m:sSub>
          <m:r>
            <w:rPr>
              <w:rFonts w:ascii="Times New Roman" w:eastAsia="Times New Roman" w:hAnsi="Times New Roman" w:cs="Times New Roman"/>
              <w:szCs w:val="21"/>
            </w:rPr>
            <m:t>+κ</m:t>
          </m:r>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r,t</m:t>
              </m:r>
            </m:sub>
            <m:sup/>
            <m:e>
              <m:sSub>
                <m:sSubPr>
                  <m:ctrlPr>
                    <w:rPr>
                      <w:rFonts w:ascii="Times New Roman" w:hAnsi="Times New Roman" w:eastAsia="Times New Roman" w:cs="Times New Roman"/>
                    </w:rPr>
                  </m:ctrlPr>
                </m:sSubPr>
                <m:e>
                  <m:r>
                    <w:rPr>
                      <w:rFonts w:ascii="Times New Roman" w:eastAsia="Times New Roman" w:hAnsi="Times New Roman" w:cs="Times New Roman"/>
                      <w:szCs w:val="21"/>
                    </w:rPr>
                    <m:t>g</m:t>
                  </m:r>
                </m:e>
                <m:sub>
                  <m:r>
                    <w:rPr>
                      <w:rFonts w:ascii="Times New Roman" w:eastAsia="Times New Roman" w:hAnsi="Times New Roman" w:cs="Times New Roman"/>
                      <w:szCs w:val="21"/>
                    </w:rPr>
                    <m:t>r,t</m:t>
                  </m:r>
                </m:sub>
              </m:sSub>
            </m:e>
          </m:nary>
        </m:oMath>
      </m:oMathPara>
    </w:p>
    <w:p w14:paraId="32E16BE1"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szCs w:val="21"/>
        </w:rPr>
        <w:t>Inventory balance and planning-demand accounting are:</w:t>
      </w:r>
    </w:p>
    <w:p w14:paraId="0CF46737" w14:textId="77777777" w:rsidR="00E96B4B" w:rsidRDefault="00000000">
      <w:pPr>
        <w:jc w:val="center"/>
        <w:rPr>
          <w:rFonts w:ascii="Times New Roman" w:hAnsi="Times New Roman" w:cs="Times New Roman" w:eastAsia="Times New Roman"/>
          <w:b/>
          <w:bCs/>
        </w:rPr>
      </w:pPr>
      <m:oMathPara>
        <m:oMath>
          <m:sSub>
            <m:sSubPr>
              <m:ctrlPr>
                <w:rPr>
                  <w:rFonts w:ascii="Times New Roman" w:hAnsi="Times New Roman" w:eastAsia="Times New Roman" w:cs="Times New Roman"/>
                </w:rPr>
              </m:ctrlPr>
            </m:sSubPr>
            <m:e>
              <m:r>
                <w:rPr>
                  <w:rFonts w:ascii="Times New Roman" w:eastAsia="Times New Roman" w:hAnsi="Times New Roman" w:cs="Times New Roman"/>
                  <w:szCs w:val="21"/>
                </w:rPr>
                <m:t>I</m:t>
              </m:r>
            </m:e>
            <m:sub>
              <m:r>
                <w:rPr>
                  <w:rFonts w:ascii="Times New Roman" w:eastAsia="Times New Roman" w:hAnsi="Times New Roman" w:cs="Times New Roman"/>
                  <w:szCs w:val="21"/>
                </w:rPr>
                <m:t>i,c,t</m:t>
              </m:r>
            </m:sub>
          </m:sSub>
          <m:r>
            <w:rPr>
              <w:rFonts w:ascii="Times New Roman" w:eastAsia="Times New Roman" w:hAnsi="Times New Roman" w:cs="Times New Roman"/>
              <w:szCs w:val="21"/>
            </w:rPr>
            <m:t>=</m:t>
          </m:r>
          <m:sSub>
            <m:sSubPr>
              <m:ctrlPr>
                <w:rPr>
                  <w:rFonts w:ascii="Times New Roman" w:hAnsi="Times New Roman" w:eastAsia="Times New Roman" w:cs="Times New Roman"/>
                </w:rPr>
              </m:ctrlPr>
            </m:sSubPr>
            <m:e>
              <m:r>
                <w:rPr>
                  <w:rFonts w:ascii="Times New Roman" w:eastAsia="Times New Roman" w:hAnsi="Times New Roman" w:cs="Times New Roman"/>
                  <w:szCs w:val="21"/>
                </w:rPr>
                <m:t>I</m:t>
              </m:r>
            </m:e>
            <m:sub>
              <m:r>
                <w:rPr>
                  <w:rFonts w:ascii="Times New Roman" w:eastAsia="Times New Roman" w:hAnsi="Times New Roman" w:cs="Times New Roman"/>
                  <w:szCs w:val="21"/>
                </w:rPr>
                <m:t>i,c,t-1</m:t>
              </m:r>
            </m:sub>
          </m:sSub>
          <m:r>
            <w:rPr>
              <w:rFonts w:ascii="Times New Roman" w:eastAsia="Times New Roman" w:hAnsi="Times New Roman" w:cs="Times New Roman"/>
              <w:szCs w:val="21"/>
            </w:rPr>
            <m:t>+</m:t>
          </m:r>
          <m:sSub>
            <m:sSubPr>
              <m:ctrlPr>
                <w:rPr>
                  <w:rFonts w:ascii="Times New Roman" w:hAnsi="Times New Roman" w:eastAsia="Times New Roman" w:cs="Times New Roman"/>
                </w:rPr>
              </m:ctrlPr>
            </m:sSubPr>
            <m:e>
              <m:r>
                <w:rPr>
                  <w:rFonts w:ascii="Times New Roman" w:eastAsia="Times New Roman" w:hAnsi="Times New Roman" w:cs="Times New Roman"/>
                  <w:szCs w:val="21"/>
                </w:rPr>
                <m:t>q</m:t>
              </m:r>
            </m:e>
            <m:sub>
              <m:r>
                <w:rPr>
                  <w:rFonts w:ascii="Times New Roman" w:eastAsia="Times New Roman" w:hAnsi="Times New Roman" w:cs="Times New Roman"/>
                  <w:szCs w:val="21"/>
                </w:rPr>
                <m:t>i,c,t-</m:t>
              </m:r>
              <m:sSub>
                <m:sSubPr>
                  <m:ctrlPr>
                    <w:rPr>
                      <w:rFonts w:ascii="Times New Roman" w:hAnsi="Times New Roman" w:eastAsia="Times New Roman" w:cs="Times New Roman"/>
                    </w:rPr>
                  </m:ctrlPr>
                </m:sSubPr>
                <m:e>
                  <m:r>
                    <w:rPr>
                      <w:rFonts w:ascii="Times New Roman" w:eastAsia="Times New Roman" w:hAnsi="Times New Roman" w:cs="Times New Roman"/>
                      <w:szCs w:val="21"/>
                    </w:rPr>
                    <m:t>L</m:t>
                  </m:r>
                </m:e>
                <m:sub>
                  <m:r>
                    <w:rPr>
                      <w:rFonts w:ascii="Times New Roman" w:eastAsia="Times New Roman" w:hAnsi="Times New Roman" w:cs="Times New Roman"/>
                      <w:szCs w:val="21"/>
                    </w:rPr>
                    <m:t>i,c</m:t>
                  </m:r>
                </m:sub>
              </m:sSub>
            </m:sub>
          </m:sSub>
          <m:r>
            <w:rPr>
              <w:rFonts w:ascii="Times New Roman" w:eastAsia="Times New Roman" w:hAnsi="Times New Roman" w:cs="Times New Roman"/>
              <w:szCs w:val="21"/>
            </w:rPr>
            <m:t>-</m:t>
          </m:r>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r</m:t>
              </m:r>
            </m:sub>
            <m:sup/>
            <m:e>
              <m:sSub>
                <m:sSubPr>
                  <m:ctrlPr>
                    <w:rPr>
                      <w:rFonts w:ascii="Times New Roman" w:hAnsi="Times New Roman" w:eastAsia="Times New Roman" w:cs="Times New Roman"/>
                    </w:rPr>
                  </m:ctrlPr>
                </m:sSubPr>
                <m:e>
                  <m:r>
                    <w:rPr>
                      <w:rFonts w:ascii="Times New Roman" w:eastAsia="Times New Roman" w:hAnsi="Times New Roman" w:cs="Times New Roman"/>
                      <w:szCs w:val="21"/>
                    </w:rPr>
                    <m:t>x</m:t>
                  </m:r>
                </m:e>
                <m:sub>
                  <m:r>
                    <w:rPr>
                      <w:rFonts w:ascii="Times New Roman" w:eastAsia="Times New Roman" w:hAnsi="Times New Roman" w:cs="Times New Roman"/>
                      <w:szCs w:val="21"/>
                    </w:rPr>
                    <m:t>i,c,r,t</m:t>
                  </m:r>
                </m:sub>
              </m:sSub>
            </m:e>
          </m:nary>
        </m:oMath>
      </m:oMathPara>
    </w:p>
    <w:p w14:paraId="17285F9B" w14:textId="77777777" w:rsidR="00E96B4B" w:rsidRDefault="00000000">
      <w:pPr>
        <w:jc w:val="center"/>
        <w:rPr>
          <w:rFonts w:ascii="Times New Roman" w:hAnsi="Times New Roman" w:cs="Times New Roman" w:eastAsia="Times New Roman"/>
          <w:b/>
          <w:bCs/>
        </w:rPr>
      </w:pPr>
      <m:oMathPara>
        <m:oMath>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i</m:t>
              </m:r>
            </m:sub>
            <m:sup/>
            <m:e>
              <m:sSub>
                <m:sSubPr>
                  <m:ctrlPr>
                    <w:rPr>
                      <w:rFonts w:ascii="Times New Roman" w:hAnsi="Times New Roman" w:eastAsia="Times New Roman" w:cs="Times New Roman"/>
                    </w:rPr>
                  </m:ctrlPr>
                </m:sSubPr>
                <m:e>
                  <m:r>
                    <w:rPr>
                      <w:rFonts w:ascii="Times New Roman" w:eastAsia="Times New Roman" w:hAnsi="Times New Roman" w:cs="Times New Roman"/>
                      <w:szCs w:val="21"/>
                    </w:rPr>
                    <m:t>x</m:t>
                  </m:r>
                </m:e>
                <m:sub>
                  <m:r>
                    <w:rPr>
                      <w:rFonts w:ascii="Times New Roman" w:eastAsia="Times New Roman" w:hAnsi="Times New Roman" w:cs="Times New Roman"/>
                      <w:szCs w:val="21"/>
                    </w:rPr>
                    <m:t>i,c,r,t</m:t>
                  </m:r>
                </m:sub>
              </m:sSub>
            </m:e>
          </m:nary>
          <m:r>
            <w:rPr>
              <w:rFonts w:ascii="Times New Roman" w:eastAsia="Times New Roman" w:hAnsi="Times New Roman" w:cs="Times New Roman"/>
              <w:szCs w:val="21"/>
            </w:rPr>
            <m:t>+</m:t>
          </m:r>
          <m:sSub>
            <m:sSubPr>
              <m:ctrlPr>
                <w:rPr>
                  <w:rFonts w:ascii="Times New Roman" w:hAnsi="Times New Roman" w:eastAsia="Times New Roman" w:cs="Times New Roman"/>
                </w:rPr>
              </m:ctrlPr>
            </m:sSubPr>
            <m:e>
              <m:r>
                <w:rPr>
                  <w:rFonts w:ascii="Times New Roman" w:eastAsia="Times New Roman" w:hAnsi="Times New Roman" w:cs="Times New Roman"/>
                  <w:szCs w:val="21"/>
                </w:rPr>
                <m:t>u</m:t>
              </m:r>
            </m:e>
            <m:sub>
              <m:r>
                <w:rPr>
                  <w:rFonts w:ascii="Times New Roman" w:eastAsia="Times New Roman" w:hAnsi="Times New Roman" w:cs="Times New Roman"/>
                  <w:szCs w:val="21"/>
                </w:rPr>
                <m:t>c,r,t</m:t>
              </m:r>
            </m:sub>
          </m:sSub>
          <m:r>
            <w:rPr>
              <w:rFonts w:ascii="Times New Roman" w:eastAsia="Times New Roman" w:hAnsi="Times New Roman" w:cs="Times New Roman"/>
              <w:szCs w:val="21"/>
            </w:rPr>
            <m:t>=</m:t>
          </m:r>
          <m:sSub>
            <m:sSubPr>
              <m:ctrlPr>
                <w:rPr>
                  <w:rFonts w:ascii="Times New Roman" w:hAnsi="Times New Roman" w:eastAsia="Times New Roman" w:cs="Times New Roman"/>
                </w:rPr>
              </m:ctrlPr>
            </m:sSubPr>
            <m:e>
              <m:acc>
                <m:accPr>
                  <m:chr m:val="̃"/>
                  <m:ctrlPr>
                    <w:rPr>
                      <w:rFonts w:ascii="Times New Roman" w:hAnsi="Times New Roman" w:eastAsia="Times New Roman" w:cs="Times New Roman"/>
                    </w:rPr>
                  </m:ctrlPr>
                </m:accPr>
                <m:e>
                  <m:r>
                    <w:rPr>
                      <w:rFonts w:ascii="Times New Roman" w:eastAsia="Times New Roman" w:hAnsi="Times New Roman" w:cs="Times New Roman"/>
                      <w:szCs w:val="21"/>
                    </w:rPr>
                    <m:t>D</m:t>
                  </m:r>
                </m:e>
              </m:acc>
            </m:e>
            <m:sub>
              <m:r>
                <w:rPr>
                  <w:rFonts w:ascii="Times New Roman" w:eastAsia="Times New Roman" w:hAnsi="Times New Roman" w:cs="Times New Roman"/>
                  <w:szCs w:val="21"/>
                </w:rPr>
                <m:t>c,r,t</m:t>
              </m:r>
            </m:sub>
          </m:sSub>
        </m:oMath>
      </m:oMathPara>
    </w:p>
    <w:p w14:paraId="02E880C0"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szCs w:val="21"/>
        </w:rPr>
        <w:t>Warehouse throughput and replenishment capacity are limited by:</w:t>
      </w:r>
    </w:p>
    <w:p w14:paraId="2C9FE525" w14:textId="77777777" w:rsidR="00E96B4B" w:rsidRDefault="00000000">
      <w:pPr>
        <w:jc w:val="center"/>
        <w:rPr>
          <w:rFonts w:ascii="Times New Roman" w:hAnsi="Times New Roman" w:cs="Times New Roman" w:eastAsia="Times New Roman"/>
          <w:b/>
          <w:bCs/>
        </w:rPr>
      </w:pPr>
      <m:oMathPara>
        <m:oMath>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c,r</m:t>
              </m:r>
            </m:sub>
            <m:sup/>
            <m:e>
              <m:sSub>
                <m:sSubPr>
                  <m:ctrlPr>
                    <w:rPr>
                      <w:rFonts w:ascii="Times New Roman" w:hAnsi="Times New Roman" w:eastAsia="Times New Roman" w:cs="Times New Roman"/>
                    </w:rPr>
                  </m:ctrlPr>
                </m:sSubPr>
                <m:e>
                  <m:r>
                    <w:rPr>
                      <w:rFonts w:ascii="Times New Roman" w:eastAsia="Times New Roman" w:hAnsi="Times New Roman" w:cs="Times New Roman"/>
                      <w:szCs w:val="21"/>
                    </w:rPr>
                    <m:t>w</m:t>
                  </m:r>
                </m:e>
                <m:sub>
                  <m:r>
                    <w:rPr>
                      <w:rFonts w:ascii="Times New Roman" w:eastAsia="Times New Roman" w:hAnsi="Times New Roman" w:cs="Times New Roman"/>
                      <w:szCs w:val="21"/>
                    </w:rPr>
                    <m:t>c</m:t>
                  </m:r>
                </m:sub>
              </m:sSub>
            </m:e>
          </m:nary>
          <m:sSub>
            <m:sSubPr>
              <m:ctrlPr>
                <w:rPr>
                  <w:rFonts w:ascii="Times New Roman" w:hAnsi="Times New Roman" w:eastAsia="Times New Roman" w:cs="Times New Roman"/>
                </w:rPr>
              </m:ctrlPr>
            </m:sSubPr>
            <m:e>
              <m:r>
                <w:rPr>
                  <w:rFonts w:ascii="Times New Roman" w:eastAsia="Times New Roman" w:hAnsi="Times New Roman" w:cs="Times New Roman"/>
                  <w:szCs w:val="21"/>
                </w:rPr>
                <m:t>x</m:t>
              </m:r>
            </m:e>
            <m:sub>
              <m:r>
                <w:rPr>
                  <w:rFonts w:ascii="Times New Roman" w:eastAsia="Times New Roman" w:hAnsi="Times New Roman" w:cs="Times New Roman"/>
                  <w:szCs w:val="21"/>
                </w:rPr>
                <m:t>i,c,r,t</m:t>
              </m:r>
            </m:sub>
          </m:sSub>
          <m:r>
            <w:rPr>
              <w:rFonts w:ascii="Times New Roman" w:eastAsia="Times New Roman" w:hAnsi="Times New Roman" w:cs="Times New Roman"/>
              <w:szCs w:val="21"/>
            </w:rPr>
            <m:t>≤</m:t>
          </m:r>
          <m:sSub>
            <m:sSubPr>
              <m:ctrlPr>
                <w:rPr>
                  <w:rFonts w:ascii="Times New Roman" w:hAnsi="Times New Roman" w:eastAsia="Times New Roman" w:cs="Times New Roman"/>
                </w:rPr>
              </m:ctrlPr>
            </m:sSubPr>
            <m:e>
              <m:r>
                <w:rPr>
                  <w:rFonts w:ascii="Times New Roman" w:eastAsia="Times New Roman" w:hAnsi="Times New Roman" w:cs="Times New Roman"/>
                  <w:szCs w:val="21"/>
                </w:rPr>
                <m:t>C</m:t>
              </m:r>
            </m:e>
            <m:sub>
              <m:r>
                <w:rPr>
                  <w:rFonts w:ascii="Times New Roman" w:eastAsia="Times New Roman" w:hAnsi="Times New Roman" w:cs="Times New Roman"/>
                  <w:szCs w:val="21"/>
                </w:rPr>
                <m:t>i,t</m:t>
              </m:r>
            </m:sub>
          </m:sSub>
        </m:oMath>
      </m:oMathPara>
    </w:p>
    <w:p w14:paraId="0D269A68" w14:textId="77777777" w:rsidR="00E96B4B" w:rsidRDefault="00000000">
      <w:pPr>
        <w:jc w:val="center"/>
        <w:rPr>
          <w:rFonts w:ascii="Times New Roman" w:hAnsi="Times New Roman" w:cs="Times New Roman" w:eastAsia="Times New Roman"/>
          <w:b/>
          <w:bCs/>
        </w:rPr>
      </w:pPr>
      <m:oMathPara>
        <m:oMath>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c</m:t>
              </m:r>
            </m:sub>
            <m:sup/>
            <m:e>
              <m:sSub>
                <m:sSubPr>
                  <m:ctrlPr>
                    <w:rPr>
                      <w:rFonts w:ascii="Times New Roman" w:hAnsi="Times New Roman" w:eastAsia="Times New Roman" w:cs="Times New Roman"/>
                    </w:rPr>
                  </m:ctrlPr>
                </m:sSubPr>
                <m:e>
                  <m:r>
                    <w:rPr>
                      <w:rFonts w:ascii="Times New Roman" w:eastAsia="Times New Roman" w:hAnsi="Times New Roman" w:cs="Times New Roman"/>
                      <w:szCs w:val="21"/>
                    </w:rPr>
                    <m:t>q</m:t>
                  </m:r>
                </m:e>
                <m:sub>
                  <m:r>
                    <w:rPr>
                      <w:rFonts w:ascii="Times New Roman" w:eastAsia="Times New Roman" w:hAnsi="Times New Roman" w:cs="Times New Roman"/>
                      <w:szCs w:val="21"/>
                    </w:rPr>
                    <m:t>i,c,t</m:t>
                  </m:r>
                </m:sub>
              </m:sSub>
            </m:e>
          </m:nary>
          <m:r>
            <w:rPr>
              <w:rFonts w:ascii="Times New Roman" w:eastAsia="Times New Roman" w:hAnsi="Times New Roman" w:cs="Times New Roman"/>
              <w:szCs w:val="21"/>
            </w:rPr>
            <m:t>≤</m:t>
          </m:r>
          <m:sSub>
            <m:sSubPr>
              <m:ctrlPr>
                <w:rPr>
                  <w:rFonts w:ascii="Times New Roman" w:hAnsi="Times New Roman" w:eastAsia="Times New Roman" w:cs="Times New Roman"/>
                </w:rPr>
              </m:ctrlPr>
            </m:sSubPr>
            <m:e>
              <m:r>
                <w:rPr>
                  <w:rFonts w:ascii="Times New Roman" w:eastAsia="Times New Roman" w:hAnsi="Times New Roman" w:cs="Times New Roman"/>
                  <w:szCs w:val="21"/>
                </w:rPr>
                <m:t>R</m:t>
              </m:r>
            </m:e>
            <m:sub>
              <m:r>
                <w:rPr>
                  <w:rFonts w:ascii="Times New Roman" w:eastAsia="Times New Roman" w:hAnsi="Times New Roman" w:cs="Times New Roman"/>
                  <w:szCs w:val="21"/>
                </w:rPr>
                <m:t>i,t</m:t>
              </m:r>
            </m:sub>
          </m:sSub>
        </m:oMath>
      </m:oMathPara>
    </w:p>
    <w:p w14:paraId="1CFE49B8"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szCs w:val="21"/>
        </w:rPr>
        <w:t>A minimum service target alpha (90% in the base scenario) is imposed for each region; nonnegative service-gap slack g prevents infeasibility and is penalized in the objective:</w:t>
      </w:r>
    </w:p>
    <w:p w14:paraId="625EEBB0" w14:textId="77777777" w:rsidR="00E96B4B" w:rsidRDefault="00000000">
      <w:pPr>
        <w:jc w:val="center"/>
        <w:rPr>
          <w:rFonts w:ascii="Times New Roman" w:hAnsi="Times New Roman" w:cs="Times New Roman" w:eastAsia="Times New Roman"/>
          <w:b/>
          <w:bCs/>
        </w:rPr>
      </w:pPr>
      <m:oMathPara>
        <m:oMath>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i,c</m:t>
              </m:r>
            </m:sub>
            <m:sup/>
            <m:e>
              <m:sSub>
                <m:sSubPr>
                  <m:ctrlPr>
                    <w:rPr>
                      <w:rFonts w:ascii="Times New Roman" w:hAnsi="Times New Roman" w:eastAsia="Times New Roman" w:cs="Times New Roman"/>
                    </w:rPr>
                  </m:ctrlPr>
                </m:sSubPr>
                <m:e>
                  <m:r>
                    <w:rPr>
                      <w:rFonts w:ascii="Times New Roman" w:eastAsia="Times New Roman" w:hAnsi="Times New Roman" w:cs="Times New Roman"/>
                      <w:szCs w:val="21"/>
                    </w:rPr>
                    <m:t>x</m:t>
                  </m:r>
                </m:e>
                <m:sub>
                  <m:r>
                    <w:rPr>
                      <w:rFonts w:ascii="Times New Roman" w:eastAsia="Times New Roman" w:hAnsi="Times New Roman" w:cs="Times New Roman"/>
                      <w:szCs w:val="21"/>
                    </w:rPr>
                    <m:t>i,c,r,t</m:t>
                  </m:r>
                </m:sub>
              </m:sSub>
            </m:e>
          </m:nary>
          <m:r>
            <w:rPr>
              <w:rFonts w:ascii="Times New Roman" w:eastAsia="Times New Roman" w:hAnsi="Times New Roman" w:cs="Times New Roman"/>
              <w:szCs w:val="21"/>
            </w:rPr>
            <m:t>+</m:t>
          </m:r>
          <m:sSub>
            <m:sSubPr>
              <m:ctrlPr>
                <w:rPr>
                  <w:rFonts w:ascii="Times New Roman" w:hAnsi="Times New Roman" w:eastAsia="Times New Roman" w:cs="Times New Roman"/>
                </w:rPr>
              </m:ctrlPr>
            </m:sSubPr>
            <m:e>
              <m:r>
                <w:rPr>
                  <w:rFonts w:ascii="Times New Roman" w:eastAsia="Times New Roman" w:hAnsi="Times New Roman" w:cs="Times New Roman"/>
                  <w:szCs w:val="21"/>
                </w:rPr>
                <m:t>g</m:t>
              </m:r>
            </m:e>
            <m:sub>
              <m:r>
                <w:rPr>
                  <w:rFonts w:ascii="Times New Roman" w:eastAsia="Times New Roman" w:hAnsi="Times New Roman" w:cs="Times New Roman"/>
                  <w:szCs w:val="21"/>
                </w:rPr>
                <m:t>r,t</m:t>
              </m:r>
            </m:sub>
          </m:sSub>
          <m:r>
            <w:rPr>
              <w:rFonts w:ascii="Times New Roman" w:eastAsia="Times New Roman" w:hAnsi="Times New Roman" w:cs="Times New Roman"/>
              <w:szCs w:val="21"/>
            </w:rPr>
            <m:t>≥α</m:t>
          </m:r>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c</m:t>
              </m:r>
            </m:sub>
            <m:sup/>
            <m:e>
              <m:sSub>
                <m:sSubPr>
                  <m:ctrlPr>
                    <w:rPr>
                      <w:rFonts w:ascii="Times New Roman" w:hAnsi="Times New Roman" w:eastAsia="Times New Roman" w:cs="Times New Roman"/>
                    </w:rPr>
                  </m:ctrlPr>
                </m:sSubPr>
                <m:e>
                  <m:acc>
                    <m:accPr>
                      <m:chr m:val="̃"/>
                      <m:ctrlPr>
                        <w:rPr>
                          <w:rFonts w:ascii="Times New Roman" w:hAnsi="Times New Roman" w:eastAsia="Times New Roman" w:cs="Times New Roman"/>
                        </w:rPr>
                      </m:ctrlPr>
                    </m:accPr>
                    <m:e>
                      <m:r>
                        <w:rPr>
                          <w:rFonts w:ascii="Times New Roman" w:eastAsia="Times New Roman" w:hAnsi="Times New Roman" w:cs="Times New Roman"/>
                          <w:szCs w:val="21"/>
                        </w:rPr>
                        <m:t>D</m:t>
                      </m:r>
                    </m:e>
                  </m:acc>
                </m:e>
                <m:sub>
                  <m:r>
                    <w:rPr>
                      <w:rFonts w:ascii="Times New Roman" w:eastAsia="Times New Roman" w:hAnsi="Times New Roman" w:cs="Times New Roman"/>
                      <w:szCs w:val="21"/>
                    </w:rPr>
                    <m:t>c,r,t</m:t>
                  </m:r>
                </m:sub>
              </m:sSub>
            </m:e>
          </m:nary>
        </m:oMath>
      </m:oMathPara>
    </w:p>
    <w:p w14:paraId="6E84A297"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b/>
          <w:szCs w:val="21"/>
        </w:rPr>
        <w:t>8.2 Stage B: realized fulfillment allocation</w:t>
      </w:r>
    </w:p>
    <w:p w14:paraId="715E6B05" w14:textId="77777777" w:rsidR="00E96B4B" w:rsidRDefault="00000000">
      <w:pPr>
        <w:rPr>
          <w:rFonts w:ascii="Times New Roman" w:hAnsi="Times New Roman" w:cs="Times New Roman" w:eastAsia="Times New Roman"/>
          <w:b/>
          <w:bCs/>
        </w:rPr>
      </w:pPr>
      <w:r>
        <w:t>Stage B is a capacitated transportation/fulfillment MILP. After actual demand is revealed, y allocates available inventory and v records unmet or delayed demand. Risk-adjusted route cost combines observed median freight with smoothed late-delivery and seller late-dispatch rates computed only from history available before the decision week. No handling-cost term is introduced because Olist does not observe one.</w:t>
      </w:r>
    </w:p>
    <w:p w14:paraId="4E3C9BDF" w14:textId="77777777" w:rsidR="00E96B4B" w:rsidRDefault="00000000">
      <w:pPr>
        <w:jc w:val="center"/>
        <w:rPr>
          <w:rFonts w:ascii="Times New Roman" w:hAnsi="Times New Roman" w:cs="Times New Roman" w:eastAsia="Times New Roman"/>
          <w:b/>
          <w:bCs/>
        </w:rPr>
      </w:pPr>
      <m:oMathPara>
        <m:oMath>
          <m:r>
            <m:rPr>
              <m:sty m:val="p"/>
            </m:rPr>
            <w:rPr>
              <w:rFonts w:ascii="Times New Roman" w:eastAsia="Times New Roman" w:hAnsi="Times New Roman" w:cs="Times New Roman"/>
              <w:szCs w:val="21"/>
            </w:rPr>
            <m:t>min</m:t>
          </m:r>
          <m:sSub>
            <m:sSubPr>
              <m:ctrlPr>
                <w:rPr>
                  <w:rFonts w:ascii="Times New Roman" w:hAnsi="Times New Roman" w:eastAsia="Times New Roman" w:cs="Times New Roman"/>
                </w:rPr>
              </m:ctrlPr>
            </m:sSubPr>
            <m:e>
              <m:r>
                <w:rPr>
                  <w:rFonts w:ascii="Times New Roman" w:eastAsia="Times New Roman" w:hAnsi="Times New Roman" w:cs="Times New Roman"/>
                  <w:szCs w:val="21"/>
                </w:rPr>
                <m:t>Z</m:t>
              </m:r>
            </m:e>
            <m:sub>
              <m:r>
                <w:rPr>
                  <w:rFonts w:ascii="Times New Roman" w:eastAsia="Times New Roman" w:hAnsi="Times New Roman" w:cs="Times New Roman"/>
                  <w:szCs w:val="21"/>
                </w:rPr>
                <m:t>B</m:t>
              </m:r>
            </m:sub>
          </m:sSub>
          <m:r>
            <w:rPr>
              <w:rFonts w:ascii="Times New Roman" w:eastAsia="Times New Roman" w:hAnsi="Times New Roman" w:cs="Times New Roman"/>
              <w:szCs w:val="21"/>
            </w:rPr>
            <m:t>=</m:t>
          </m:r>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i,c,r</m:t>
              </m:r>
            </m:sub>
            <m:sup/>
            <m:e>
              <m:sSub>
                <m:sSubPr>
                  <m:ctrlPr>
                    <w:rPr>
                      <w:rFonts w:ascii="Times New Roman" w:hAnsi="Times New Roman" w:eastAsia="Times New Roman" w:cs="Times New Roman"/>
                    </w:rPr>
                  </m:ctrlPr>
                </m:sSubPr>
                <m:e>
                  <m:acc>
                    <m:accPr>
                      <m:chr m:val="̅"/>
                      <m:ctrlPr>
                        <w:rPr>
                          <w:rFonts w:ascii="Times New Roman" w:hAnsi="Times New Roman" w:eastAsia="Times New Roman" w:cs="Times New Roman"/>
                        </w:rPr>
                      </m:ctrlPr>
                    </m:accPr>
                    <m:e>
                      <m:r>
                        <w:rPr>
                          <w:rFonts w:ascii="Times New Roman" w:eastAsia="Times New Roman" w:hAnsi="Times New Roman" w:cs="Times New Roman"/>
                          <w:szCs w:val="21"/>
                        </w:rPr>
                        <m:t>c</m:t>
                      </m:r>
                    </m:e>
                  </m:acc>
                </m:e>
                <m:sub>
                  <m:r>
                    <w:rPr>
                      <w:rFonts w:ascii="Times New Roman" w:eastAsia="Times New Roman" w:hAnsi="Times New Roman" w:cs="Times New Roman"/>
                      <w:szCs w:val="21"/>
                    </w:rPr>
                    <m:t>i,c,r,t</m:t>
                  </m:r>
                </m:sub>
              </m:sSub>
            </m:e>
          </m:nary>
          <m:sSub>
            <m:sSubPr>
              <m:ctrlPr>
                <w:rPr>
                  <w:rFonts w:ascii="Times New Roman" w:hAnsi="Times New Roman" w:eastAsia="Times New Roman" w:cs="Times New Roman"/>
                </w:rPr>
              </m:ctrlPr>
            </m:sSubPr>
            <m:e>
              <m:r>
                <w:rPr>
                  <w:rFonts w:ascii="Times New Roman" w:eastAsia="Times New Roman" w:hAnsi="Times New Roman" w:cs="Times New Roman"/>
                  <w:szCs w:val="21"/>
                </w:rPr>
                <m:t>y</m:t>
              </m:r>
            </m:e>
            <m:sub>
              <m:r>
                <w:rPr>
                  <w:rFonts w:ascii="Times New Roman" w:eastAsia="Times New Roman" w:hAnsi="Times New Roman" w:cs="Times New Roman"/>
                  <w:szCs w:val="21"/>
                </w:rPr>
                <m:t>i,c,r,t</m:t>
              </m:r>
            </m:sub>
          </m:sSub>
          <m:r>
            <w:rPr>
              <w:rFonts w:ascii="Times New Roman" w:eastAsia="Times New Roman" w:hAnsi="Times New Roman" w:cs="Times New Roman"/>
              <w:szCs w:val="21"/>
            </w:rPr>
            <m:t>+</m:t>
          </m:r>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c,r</m:t>
              </m:r>
            </m:sub>
            <m:sup/>
            <m:e>
              <m:sSub>
                <m:sSubPr>
                  <m:ctrlPr>
                    <w:rPr>
                      <w:rFonts w:ascii="Times New Roman" w:hAnsi="Times New Roman" w:eastAsia="Times New Roman" w:cs="Times New Roman"/>
                    </w:rPr>
                  </m:ctrlPr>
                </m:sSubPr>
                <m:e>
                  <m:r>
                    <w:rPr>
                      <w:rFonts w:ascii="Times New Roman" w:eastAsia="Times New Roman" w:hAnsi="Times New Roman" w:cs="Times New Roman"/>
                      <w:szCs w:val="21"/>
                    </w:rPr>
                    <m:t>π</m:t>
                  </m:r>
                </m:e>
                <m:sub>
                  <m:r>
                    <w:rPr>
                      <w:rFonts w:ascii="Times New Roman" w:eastAsia="Times New Roman" w:hAnsi="Times New Roman" w:cs="Times New Roman"/>
                      <w:szCs w:val="21"/>
                    </w:rPr>
                    <m:t>c</m:t>
                  </m:r>
                </m:sub>
              </m:sSub>
            </m:e>
          </m:nary>
          <m:sSub>
            <m:sSubPr>
              <m:ctrlPr>
                <w:rPr>
                  <w:rFonts w:ascii="Times New Roman" w:hAnsi="Times New Roman" w:eastAsia="Times New Roman" w:cs="Times New Roman"/>
                </w:rPr>
              </m:ctrlPr>
            </m:sSubPr>
            <m:e>
              <m:r>
                <w:rPr>
                  <w:rFonts w:ascii="Times New Roman" w:eastAsia="Times New Roman" w:hAnsi="Times New Roman" w:cs="Times New Roman"/>
                  <w:szCs w:val="21"/>
                </w:rPr>
                <m:t>v</m:t>
              </m:r>
            </m:e>
            <m:sub>
              <m:r>
                <w:rPr>
                  <w:rFonts w:ascii="Times New Roman" w:eastAsia="Times New Roman" w:hAnsi="Times New Roman" w:cs="Times New Roman"/>
                  <w:szCs w:val="21"/>
                </w:rPr>
                <m:t>c,r,t</m:t>
              </m:r>
            </m:sub>
          </m:sSub>
        </m:oMath>
      </m:oMathPara>
    </w:p>
    <w:p w14:paraId="06349A00" w14:textId="77777777" w:rsidR="00E96B4B" w:rsidRDefault="00000000">
      <w:pPr>
        <w:jc w:val="center"/>
        <w:rPr>
          <w:rFonts w:ascii="Times New Roman" w:hAnsi="Times New Roman" w:cs="Times New Roman" w:eastAsia="Times New Roman"/>
          <w:b/>
          <w:bCs/>
        </w:rPr>
      </w:pPr>
      <m:oMathPara>
        <m:oMath>
          <m:sSub>
            <m:sSubPr>
              <m:ctrlPr>
                <w:rPr>
                  <w:rFonts w:ascii="Times New Roman" w:hAnsi="Times New Roman" w:eastAsia="Times New Roman" w:cs="Times New Roman"/>
                </w:rPr>
              </m:ctrlPr>
            </m:sSubPr>
            <m:e>
              <m:acc>
                <m:accPr>
                  <m:chr m:val="̅"/>
                  <m:ctrlPr>
                    <w:rPr>
                      <w:rFonts w:ascii="Times New Roman" w:hAnsi="Times New Roman" w:eastAsia="Times New Roman" w:cs="Times New Roman"/>
                    </w:rPr>
                  </m:ctrlPr>
                </m:accPr>
                <m:e>
                  <m:r>
                    <w:rPr>
                      <w:rFonts w:ascii="Times New Roman" w:eastAsia="Times New Roman" w:hAnsi="Times New Roman" w:cs="Times New Roman"/>
                      <w:szCs w:val="21"/>
                    </w:rPr>
                    <m:t>c</m:t>
                  </m:r>
                </m:e>
              </m:acc>
            </m:e>
            <m:sub>
              <m:r>
                <w:rPr>
                  <w:rFonts w:ascii="Times New Roman" w:eastAsia="Times New Roman" w:hAnsi="Times New Roman" w:cs="Times New Roman"/>
                  <w:szCs w:val="21"/>
                </w:rPr>
                <m:t>i,c,r,t</m:t>
              </m:r>
            </m:sub>
          </m:sSub>
          <m:r>
            <w:rPr>
              <w:rFonts w:ascii="Times New Roman" w:eastAsia="Times New Roman" w:hAnsi="Times New Roman" w:cs="Times New Roman"/>
              <w:szCs w:val="21"/>
            </w:rPr>
            <m:t>=</m:t>
          </m:r>
          <m:sSub>
            <m:sSubPr>
              <m:ctrlPr>
                <w:rPr>
                  <w:rFonts w:ascii="Times New Roman" w:hAnsi="Times New Roman" w:eastAsia="Times New Roman" w:cs="Times New Roman"/>
                </w:rPr>
              </m:ctrlPr>
            </m:sSubPr>
            <m:e>
              <m:r>
                <w:rPr>
                  <w:rFonts w:ascii="Times New Roman" w:eastAsia="Times New Roman" w:hAnsi="Times New Roman" w:cs="Times New Roman"/>
                  <w:szCs w:val="21"/>
                </w:rPr>
                <m:t>c</m:t>
              </m:r>
            </m:e>
            <m:sub>
              <m:r>
                <m:rPr>
                  <m:sty m:val="p"/>
                </m:rPr>
                <w:rPr>
                  <w:rFonts w:ascii="Times New Roman" w:eastAsia="Times New Roman" w:hAnsi="Times New Roman" w:cs="Times New Roman"/>
                  <w:szCs w:val="21"/>
                </w:rPr>
                <m:t>ship</m:t>
              </m:r>
            </m:sub>
          </m:sSub>
          <m:r>
            <w:rPr>
              <w:rFonts w:ascii="Times New Roman" w:eastAsia="Times New Roman" w:hAnsi="Times New Roman" w:cs="Times New Roman"/>
              <w:szCs w:val="21"/>
            </w:rPr>
            <m:t>+</m:t>
          </m:r>
          <m:sSub>
            <m:sSubPr>
              <m:ctrlPr>
                <w:rPr>
                  <w:rFonts w:ascii="Times New Roman" w:hAnsi="Times New Roman" w:eastAsia="Times New Roman" w:cs="Times New Roman"/>
                </w:rPr>
              </m:ctrlPr>
            </m:sSubPr>
            <m:e>
              <m:r>
                <w:rPr>
                  <w:rFonts w:ascii="Times New Roman" w:eastAsia="Times New Roman" w:hAnsi="Times New Roman" w:cs="Times New Roman"/>
                  <w:szCs w:val="21"/>
                </w:rPr>
                <m:t>λ</m:t>
              </m:r>
            </m:e>
            <m:sub>
              <m:r>
                <m:rPr>
                  <m:sty m:val="p"/>
                </m:rPr>
                <w:rPr>
                  <w:rFonts w:ascii="Times New Roman" w:eastAsia="Times New Roman" w:hAnsi="Times New Roman" w:cs="Times New Roman"/>
                  <w:szCs w:val="21"/>
                </w:rPr>
                <m:t>late</m:t>
              </m:r>
            </m:sub>
          </m:sSub>
          <m:sSub>
            <m:sSubPr>
              <m:ctrlPr>
                <w:rPr>
                  <w:rFonts w:ascii="Times New Roman" w:hAnsi="Times New Roman" w:eastAsia="Times New Roman" w:cs="Times New Roman"/>
                </w:rPr>
              </m:ctrlPr>
            </m:sSubPr>
            <m:e>
              <m:r>
                <w:rPr>
                  <w:rFonts w:ascii="Times New Roman" w:eastAsia="Times New Roman" w:hAnsi="Times New Roman" w:cs="Times New Roman"/>
                  <w:szCs w:val="21"/>
                </w:rPr>
                <m:t>p</m:t>
              </m:r>
            </m:e>
            <m:sub>
              <m:r>
                <m:rPr>
                  <m:sty m:val="p"/>
                </m:rPr>
                <w:rPr>
                  <w:rFonts w:ascii="Times New Roman" w:eastAsia="Times New Roman" w:hAnsi="Times New Roman" w:cs="Times New Roman"/>
                  <w:szCs w:val="21"/>
                </w:rPr>
                <m:t>late</m:t>
              </m:r>
            </m:sub>
          </m:sSub>
          <m:r>
            <w:rPr>
              <w:rFonts w:ascii="Times New Roman" w:eastAsia="Times New Roman" w:hAnsi="Times New Roman" w:cs="Times New Roman"/>
              <w:szCs w:val="21"/>
            </w:rPr>
            <m:t>+</m:t>
          </m:r>
          <m:sSub>
            <m:sSubPr>
              <m:ctrlPr>
                <w:rPr>
                  <w:rFonts w:ascii="Times New Roman" w:hAnsi="Times New Roman" w:eastAsia="Times New Roman" w:cs="Times New Roman"/>
                </w:rPr>
              </m:ctrlPr>
            </m:sSubPr>
            <m:e>
              <m:r>
                <w:rPr>
                  <w:rFonts w:ascii="Times New Roman" w:eastAsia="Times New Roman" w:hAnsi="Times New Roman" w:cs="Times New Roman"/>
                  <w:szCs w:val="21"/>
                </w:rPr>
                <m:t>λ</m:t>
              </m:r>
            </m:e>
            <m:sub>
              <m:r>
                <m:rPr>
                  <m:sty m:val="p"/>
                </m:rPr>
                <w:rPr>
                  <w:rFonts w:ascii="Times New Roman" w:eastAsia="Times New Roman" w:hAnsi="Times New Roman" w:cs="Times New Roman"/>
                  <w:szCs w:val="21"/>
                </w:rPr>
                <m:t>seller</m:t>
              </m:r>
            </m:sub>
          </m:sSub>
          <m:r>
            <w:rPr>
              <w:rFonts w:ascii="Times New Roman" w:eastAsia="Times New Roman" w:hAnsi="Times New Roman" w:cs="Times New Roman"/>
              <w:szCs w:val="21"/>
            </w:rPr>
            <m:t>ρ</m:t>
          </m:r>
        </m:oMath>
      </m:oMathPara>
    </w:p>
    <w:p w14:paraId="2B049944"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szCs w:val="21"/>
        </w:rPr>
        <w:t>Realized demand, available inventory, and throughput are enforced by:</w:t>
      </w:r>
    </w:p>
    <w:p w14:paraId="6A788012" w14:textId="77777777" w:rsidR="00E96B4B" w:rsidRDefault="00000000">
      <w:pPr>
        <w:jc w:val="center"/>
        <w:rPr>
          <w:rFonts w:ascii="Times New Roman" w:hAnsi="Times New Roman" w:cs="Times New Roman" w:eastAsia="Times New Roman"/>
          <w:b/>
          <w:bCs/>
        </w:rPr>
      </w:pPr>
      <m:oMathPara>
        <m:oMath>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i</m:t>
              </m:r>
            </m:sub>
            <m:sup/>
            <m:e>
              <m:sSub>
                <m:sSubPr>
                  <m:ctrlPr>
                    <w:rPr>
                      <w:rFonts w:ascii="Times New Roman" w:hAnsi="Times New Roman" w:eastAsia="Times New Roman" w:cs="Times New Roman"/>
                    </w:rPr>
                  </m:ctrlPr>
                </m:sSubPr>
                <m:e>
                  <m:r>
                    <w:rPr>
                      <w:rFonts w:ascii="Times New Roman" w:eastAsia="Times New Roman" w:hAnsi="Times New Roman" w:cs="Times New Roman"/>
                      <w:szCs w:val="21"/>
                    </w:rPr>
                    <m:t>y</m:t>
                  </m:r>
                </m:e>
                <m:sub>
                  <m:r>
                    <w:rPr>
                      <w:rFonts w:ascii="Times New Roman" w:eastAsia="Times New Roman" w:hAnsi="Times New Roman" w:cs="Times New Roman"/>
                      <w:szCs w:val="21"/>
                    </w:rPr>
                    <m:t>i,c,r,t</m:t>
                  </m:r>
                </m:sub>
              </m:sSub>
            </m:e>
          </m:nary>
          <m:r>
            <w:rPr>
              <w:rFonts w:ascii="Times New Roman" w:eastAsia="Times New Roman" w:hAnsi="Times New Roman" w:cs="Times New Roman"/>
              <w:szCs w:val="21"/>
            </w:rPr>
            <m:t>+</m:t>
          </m:r>
          <m:sSub>
            <m:sSubPr>
              <m:ctrlPr>
                <w:rPr>
                  <w:rFonts w:ascii="Times New Roman" w:hAnsi="Times New Roman" w:eastAsia="Times New Roman" w:cs="Times New Roman"/>
                </w:rPr>
              </m:ctrlPr>
            </m:sSubPr>
            <m:e>
              <m:r>
                <w:rPr>
                  <w:rFonts w:ascii="Times New Roman" w:eastAsia="Times New Roman" w:hAnsi="Times New Roman" w:cs="Times New Roman"/>
                  <w:szCs w:val="21"/>
                </w:rPr>
                <m:t>v</m:t>
              </m:r>
            </m:e>
            <m:sub>
              <m:r>
                <w:rPr>
                  <w:rFonts w:ascii="Times New Roman" w:eastAsia="Times New Roman" w:hAnsi="Times New Roman" w:cs="Times New Roman"/>
                  <w:szCs w:val="21"/>
                </w:rPr>
                <m:t>c,r,t</m:t>
              </m:r>
            </m:sub>
          </m:sSub>
          <m:r>
            <w:rPr>
              <w:rFonts w:ascii="Times New Roman" w:eastAsia="Times New Roman" w:hAnsi="Times New Roman" w:cs="Times New Roman"/>
              <w:szCs w:val="21"/>
            </w:rPr>
            <m:t>=</m:t>
          </m:r>
          <m:sSub>
            <m:sSubPr>
              <m:ctrlPr>
                <w:rPr>
                  <w:rFonts w:ascii="Times New Roman" w:hAnsi="Times New Roman" w:eastAsia="Times New Roman" w:cs="Times New Roman"/>
                </w:rPr>
              </m:ctrlPr>
            </m:sSubPr>
            <m:e>
              <m:r>
                <w:rPr>
                  <w:rFonts w:ascii="Times New Roman" w:eastAsia="Times New Roman" w:hAnsi="Times New Roman" w:cs="Times New Roman"/>
                  <w:szCs w:val="21"/>
                </w:rPr>
                <m:t>D</m:t>
              </m:r>
            </m:e>
            <m:sub>
              <m:r>
                <w:rPr>
                  <w:rFonts w:ascii="Times New Roman" w:eastAsia="Times New Roman" w:hAnsi="Times New Roman" w:cs="Times New Roman"/>
                  <w:szCs w:val="21"/>
                </w:rPr>
                <m:t>c,r,t</m:t>
              </m:r>
            </m:sub>
          </m:sSub>
        </m:oMath>
      </m:oMathPara>
    </w:p>
    <w:p w14:paraId="2BD61F7D" w14:textId="77777777" w:rsidR="00E96B4B" w:rsidRDefault="00000000">
      <w:pPr>
        <w:jc w:val="center"/>
        <w:rPr>
          <w:rFonts w:ascii="Times New Roman" w:hAnsi="Times New Roman" w:cs="Times New Roman" w:eastAsia="Times New Roman"/>
          <w:b/>
          <w:bCs/>
        </w:rPr>
      </w:pPr>
      <m:oMathPara>
        <m:oMath>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r</m:t>
              </m:r>
            </m:sub>
            <m:sup/>
            <m:e>
              <m:sSub>
                <m:sSubPr>
                  <m:ctrlPr>
                    <w:rPr>
                      <w:rFonts w:ascii="Times New Roman" w:hAnsi="Times New Roman" w:eastAsia="Times New Roman" w:cs="Times New Roman"/>
                    </w:rPr>
                  </m:ctrlPr>
                </m:sSubPr>
                <m:e>
                  <m:r>
                    <w:rPr>
                      <w:rFonts w:ascii="Times New Roman" w:eastAsia="Times New Roman" w:hAnsi="Times New Roman" w:cs="Times New Roman"/>
                      <w:szCs w:val="21"/>
                    </w:rPr>
                    <m:t>y</m:t>
                  </m:r>
                </m:e>
                <m:sub>
                  <m:r>
                    <w:rPr>
                      <w:rFonts w:ascii="Times New Roman" w:eastAsia="Times New Roman" w:hAnsi="Times New Roman" w:cs="Times New Roman"/>
                      <w:szCs w:val="21"/>
                    </w:rPr>
                    <m:t>i,c,r,t</m:t>
                  </m:r>
                </m:sub>
              </m:sSub>
            </m:e>
          </m:nary>
          <m:r>
            <w:rPr>
              <w:rFonts w:ascii="Times New Roman" w:eastAsia="Times New Roman" w:hAnsi="Times New Roman" w:cs="Times New Roman"/>
              <w:szCs w:val="21"/>
            </w:rPr>
            <m:t>≤</m:t>
          </m:r>
          <m:sSub>
            <m:sSubPr>
              <m:ctrlPr>
                <w:rPr>
                  <w:rFonts w:ascii="Times New Roman" w:hAnsi="Times New Roman" w:eastAsia="Times New Roman" w:cs="Times New Roman"/>
                </w:rPr>
              </m:ctrlPr>
            </m:sSubPr>
            <m:e>
              <m:r>
                <w:rPr>
                  <w:rFonts w:ascii="Times New Roman" w:eastAsia="Times New Roman" w:hAnsi="Times New Roman" w:cs="Times New Roman"/>
                  <w:szCs w:val="21"/>
                </w:rPr>
                <m:t>A</m:t>
              </m:r>
            </m:e>
            <m:sub>
              <m:r>
                <w:rPr>
                  <w:rFonts w:ascii="Times New Roman" w:eastAsia="Times New Roman" w:hAnsi="Times New Roman" w:cs="Times New Roman"/>
                  <w:szCs w:val="21"/>
                </w:rPr>
                <m:t>i,c,t</m:t>
              </m:r>
            </m:sub>
          </m:sSub>
          <m:r>
            <w:rPr>
              <w:rFonts w:ascii="Times New Roman" w:eastAsia="Times New Roman" w:hAnsi="Times New Roman" w:cs="Times New Roman"/>
              <w:szCs w:val="21"/>
            </w:rPr>
            <m:t>,</m:t>
          </m:r>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c,r</m:t>
              </m:r>
            </m:sub>
            <m:sup/>
            <m:e>
              <m:sSub>
                <m:sSubPr>
                  <m:ctrlPr>
                    <w:rPr>
                      <w:rFonts w:ascii="Times New Roman" w:hAnsi="Times New Roman" w:eastAsia="Times New Roman" w:cs="Times New Roman"/>
                    </w:rPr>
                  </m:ctrlPr>
                </m:sSubPr>
                <m:e>
                  <m:r>
                    <w:rPr>
                      <w:rFonts w:ascii="Times New Roman" w:eastAsia="Times New Roman" w:hAnsi="Times New Roman" w:cs="Times New Roman"/>
                      <w:szCs w:val="21"/>
                    </w:rPr>
                    <m:t>w</m:t>
                  </m:r>
                </m:e>
                <m:sub>
                  <m:r>
                    <w:rPr>
                      <w:rFonts w:ascii="Times New Roman" w:eastAsia="Times New Roman" w:hAnsi="Times New Roman" w:cs="Times New Roman"/>
                      <w:szCs w:val="21"/>
                    </w:rPr>
                    <m:t>c</m:t>
                  </m:r>
                </m:sub>
              </m:sSub>
            </m:e>
          </m:nary>
          <m:sSub>
            <m:sSubPr>
              <m:ctrlPr>
                <w:rPr>
                  <w:rFonts w:ascii="Times New Roman" w:hAnsi="Times New Roman" w:eastAsia="Times New Roman" w:cs="Times New Roman"/>
                </w:rPr>
              </m:ctrlPr>
            </m:sSubPr>
            <m:e>
              <m:r>
                <w:rPr>
                  <w:rFonts w:ascii="Times New Roman" w:eastAsia="Times New Roman" w:hAnsi="Times New Roman" w:cs="Times New Roman"/>
                  <w:szCs w:val="21"/>
                </w:rPr>
                <m:t>y</m:t>
              </m:r>
            </m:e>
            <m:sub>
              <m:r>
                <w:rPr>
                  <w:rFonts w:ascii="Times New Roman" w:eastAsia="Times New Roman" w:hAnsi="Times New Roman" w:cs="Times New Roman"/>
                  <w:szCs w:val="21"/>
                </w:rPr>
                <m:t>i,c,r,t</m:t>
              </m:r>
            </m:sub>
          </m:sSub>
          <m:r>
            <w:rPr>
              <w:rFonts w:ascii="Times New Roman" w:eastAsia="Times New Roman" w:hAnsi="Times New Roman" w:cs="Times New Roman"/>
              <w:szCs w:val="21"/>
            </w:rPr>
            <m:t>≤</m:t>
          </m:r>
          <m:sSub>
            <m:sSubPr>
              <m:ctrlPr>
                <w:rPr>
                  <w:rFonts w:ascii="Times New Roman" w:hAnsi="Times New Roman" w:eastAsia="Times New Roman" w:cs="Times New Roman"/>
                </w:rPr>
              </m:ctrlPr>
            </m:sSubPr>
            <m:e>
              <m:r>
                <w:rPr>
                  <w:rFonts w:ascii="Times New Roman" w:eastAsia="Times New Roman" w:hAnsi="Times New Roman" w:cs="Times New Roman"/>
                  <w:szCs w:val="21"/>
                </w:rPr>
                <m:t>C</m:t>
              </m:r>
            </m:e>
            <m:sub>
              <m:r>
                <w:rPr>
                  <w:rFonts w:ascii="Times New Roman" w:eastAsia="Times New Roman" w:hAnsi="Times New Roman" w:cs="Times New Roman"/>
                  <w:szCs w:val="21"/>
                </w:rPr>
                <m:t>i,t</m:t>
              </m:r>
            </m:sub>
          </m:sSub>
        </m:oMath>
      </m:oMathPara>
    </w:p>
    <w:p w14:paraId="5082B5EE"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szCs w:val="21"/>
        </w:rPr>
        <w:t>All decision quantities are nonnegative; integer restrictions will be used for unit flows when solution time permits. In the rolling-horizon implementation, only the first replenishment action is applied, inventory is updated, and the next forecast is re-estimated from past data.</w:t>
      </w:r>
    </w:p>
    <w:p w14:paraId="418A5C27" w14:textId="77777777" w:rsidR="00E96B4B" w:rsidRDefault="00E96B4B">
      <w:pPr>
        <w:rPr>
          <w:rFonts w:ascii="Times New Roman" w:hAnsi="Times New Roman" w:cs="Times New Roman" w:eastAsia="Times New Roman"/>
        </w:rPr>
      </w:pPr>
    </w:p>
    <w:p w14:paraId="73FE2532"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b/>
          <w:szCs w:val="21"/>
        </w:rPr>
        <w:t>9. Benchmark and Evaluation Design</w:t>
      </w:r>
    </w:p>
    <w:p w14:paraId="77E5F7FB" w14:textId="77777777" w:rsidR="00E96B4B" w:rsidRDefault="00000000">
      <w:pPr>
        <w:rPr>
          <w:rFonts w:ascii="Times New Roman" w:hAnsi="Times New Roman" w:cs="Times New Roman" w:eastAsia="Times New Roman"/>
          <w:b/>
          <w:bCs/>
        </w:rPr>
      </w:pPr>
      <w:r>
        <w:t>Three forecast-plus-OR policies will be evaluated under identical network, cost, capacity, and service assumptions: (1) last-week naive forecast plus OR; (2) four-week moving-average forecast plus OR; and (3) pooled Ridge forecast plus OR. All three policies use method-specific, past-only uncertainty adjustment. A 13-week rolling historical backtest will re-estimate the forecast, solve the four-week planning MILP, apply only the first replenishment decision, reveal actual demand, solve the fulfillment MILP, and update inventory. This paired design isolates forecast-input value without changing the operating environment between policies.</w:t>
      </w:r>
    </w:p>
    <w:p w14:paraId="4C674BF3"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szCs w:val="21"/>
        </w:rPr>
        <w:t>The main service metric is fill rate:</w:t>
      </w:r>
    </w:p>
    <w:p w14:paraId="31D9752E" w14:textId="77777777" w:rsidR="00E96B4B" w:rsidRDefault="00000000">
      <w:pPr>
        <w:jc w:val="center"/>
        <w:rPr>
          <w:rFonts w:ascii="Times New Roman" w:hAnsi="Times New Roman" w:cs="Times New Roman" w:eastAsia="Times New Roman"/>
          <w:b/>
          <w:bCs/>
        </w:rPr>
      </w:pPr>
      <m:oMathPara>
        <m:oMath>
          <m:r>
            <m:rPr>
              <m:sty m:val="p"/>
            </m:rPr>
            <w:rPr>
              <w:rFonts w:ascii="Times New Roman" w:eastAsia="Times New Roman" w:hAnsi="Times New Roman" w:cs="Times New Roman"/>
              <w:szCs w:val="21"/>
            </w:rPr>
            <m:t>FillRate</m:t>
          </m:r>
          <m:r>
            <w:rPr>
              <w:rFonts w:ascii="Times New Roman" w:eastAsia="Times New Roman" w:hAnsi="Times New Roman" w:cs="Times New Roman"/>
              <w:szCs w:val="21"/>
            </w:rPr>
            <m:t>=1-</m:t>
          </m:r>
          <m:f>
            <m:fPr>
              <m:ctrlPr>
                <w:rPr>
                  <w:rFonts w:ascii="Times New Roman" w:hAnsi="Times New Roman" w:eastAsia="Times New Roman" w:cs="Times New Roman"/>
                </w:rPr>
              </m:ctrlPr>
            </m:fPr>
            <m:num>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c,r,t</m:t>
                  </m:r>
                </m:sub>
                <m:sup/>
                <m:e>
                  <m:sSub>
                    <m:sSubPr>
                      <m:ctrlPr>
                        <w:rPr>
                          <w:rFonts w:ascii="Times New Roman" w:hAnsi="Times New Roman" w:eastAsia="Times New Roman" w:cs="Times New Roman"/>
                        </w:rPr>
                      </m:ctrlPr>
                    </m:sSubPr>
                    <m:e>
                      <m:r>
                        <w:rPr>
                          <w:rFonts w:ascii="Times New Roman" w:eastAsia="Times New Roman" w:hAnsi="Times New Roman" w:cs="Times New Roman"/>
                          <w:szCs w:val="21"/>
                        </w:rPr>
                        <m:t>v</m:t>
                      </m:r>
                    </m:e>
                    <m:sub>
                      <m:r>
                        <w:rPr>
                          <w:rFonts w:ascii="Times New Roman" w:eastAsia="Times New Roman" w:hAnsi="Times New Roman" w:cs="Times New Roman"/>
                          <w:szCs w:val="21"/>
                        </w:rPr>
                        <m:t>c,r,t</m:t>
                      </m:r>
                    </m:sub>
                  </m:sSub>
                </m:e>
              </m:nary>
            </m:num>
            <m:den>
              <m:nary>
                <m:naryPr>
                  <m:chr m:val="∑"/>
                  <m:limLoc m:val="undOvr"/>
                  <m:grow m:val="1"/>
                  <m:supHide m:val="1"/>
                  <m:ctrlPr>
                    <w:rPr>
                      <w:rFonts w:ascii="Times New Roman" w:hAnsi="Times New Roman" w:eastAsia="Times New Roman" w:cs="Times New Roman"/>
                    </w:rPr>
                  </m:ctrlPr>
                </m:naryPr>
                <m:sub>
                  <m:r>
                    <w:rPr>
                      <w:rFonts w:ascii="Times New Roman" w:eastAsia="Times New Roman" w:hAnsi="Times New Roman" w:cs="Times New Roman"/>
                      <w:szCs w:val="21"/>
                    </w:rPr>
                    <m:t>c,r,t</m:t>
                  </m:r>
                </m:sub>
                <m:sup/>
                <m:e>
                  <m:sSub>
                    <m:sSubPr>
                      <m:ctrlPr>
                        <w:rPr>
                          <w:rFonts w:ascii="Times New Roman" w:hAnsi="Times New Roman" w:eastAsia="Times New Roman" w:cs="Times New Roman"/>
                        </w:rPr>
                      </m:ctrlPr>
                    </m:sSubPr>
                    <m:e>
                      <m:r>
                        <w:rPr>
                          <w:rFonts w:ascii="Times New Roman" w:eastAsia="Times New Roman" w:hAnsi="Times New Roman" w:cs="Times New Roman"/>
                          <w:szCs w:val="21"/>
                        </w:rPr>
                        <m:t>D</m:t>
                      </m:r>
                    </m:e>
                    <m:sub>
                      <m:r>
                        <w:rPr>
                          <w:rFonts w:ascii="Times New Roman" w:eastAsia="Times New Roman" w:hAnsi="Times New Roman" w:cs="Times New Roman"/>
                          <w:szCs w:val="21"/>
                        </w:rPr>
                        <m:t>c,r,t</m:t>
                      </m:r>
                    </m:sub>
                  </m:sSub>
                </m:e>
              </m:nary>
            </m:den>
          </m:f>
        </m:oMath>
      </m:oMathPara>
    </w:p>
    <w:p w14:paraId="7E713F9F" w14:textId="77777777" w:rsidR="00E96B4B" w:rsidRDefault="00000000">
      <w:pPr>
        <w:rPr>
          <w:rFonts w:ascii="Times New Roman" w:hAnsi="Times New Roman" w:cs="Times New Roman" w:eastAsia="Times New Roman"/>
          <w:b/>
          <w:bCs/>
        </w:rPr>
      </w:pPr>
      <w:r>
        <w:t>Forecast metrics will include WAPE, MAE, and bias. Operational metrics will include total cost and its procurement, freight/risk, holding, shortage, and service-gap components; fill rate; shortage units; ending inventory; regional service performance; late-risk exposure; solver status; and solution time. The focused sensitivity design will vary safety multiplier (0, 0.5, 1.0), service target (85%, 90%, 95%), capacity multipliers (80%, 100%, 120%), lead time (one versus two weeks), shortage penalty, and risk weights (zero, base, double). Priority will be given to the three research questions; optional extensions will be dropped if they threaten the eight-day schedule.</w:t>
      </w:r>
    </w:p>
    <w:p w14:paraId="59A2B5C4" w14:textId="77777777" w:rsidR="00E96B4B" w:rsidRDefault="00E96B4B">
      <w:pPr>
        <w:rPr>
          <w:rFonts w:ascii="Times New Roman" w:hAnsi="Times New Roman" w:cs="Times New Roman" w:eastAsia="Times New Roman"/>
        </w:rPr>
      </w:pPr>
    </w:p>
    <w:p w14:paraId="5223F58C"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b/>
          <w:szCs w:val="21"/>
        </w:rPr>
        <w:t>10. Preliminary Data Model and Expected Outputs</w:t>
      </w:r>
    </w:p>
    <w:p w14:paraId="488FD16D"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szCs w:val="21"/>
        </w:rPr>
        <w:t>The project is expected to produce the following auditable data products:</w:t>
      </w:r>
    </w:p>
    <w:p w14:paraId="50622D12" w14:textId="77777777" w:rsidR="00E96B4B" w:rsidRDefault="00E96B4B">
      <w:pPr>
        <w:rPr>
          <w:rFonts w:ascii="Times New Roman" w:hAnsi="Times New Roman" w:cs="Times New Roman" w:eastAsia="Times New Roman"/>
        </w:rPr>
      </w:pPr>
      <w:r>
        <w:rPr>
          <w:rFonts w:ascii="Times New Roman" w:eastAsia="Times New Roman" w:hAnsi="Times New Roman" w:cs="Times New Roman"/>
          <w:szCs w:val="21"/>
        </w:rPr>
        <w:t>A cleaned order-item table with purchase week, product category, customer region, seller origin, price, freight, weight, and delivery-risk indicators.</w:t>
      </w:r>
    </w:p>
    <w:p w14:paraId="6167E9A6" w14:textId="77777777" w:rsidR="00E96B4B" w:rsidRDefault="00E96B4B">
      <w:pPr>
        <w:rPr>
          <w:rFonts w:ascii="Times New Roman" w:hAnsi="Times New Roman" w:cs="Times New Roman" w:eastAsia="Times New Roman"/>
        </w:rPr>
      </w:pPr>
      <w:r>
        <w:rPr>
          <w:rFonts w:ascii="Times New Roman" w:eastAsia="Times New Roman" w:hAnsi="Times New Roman" w:cs="Times New Roman"/>
          <w:szCs w:val="21"/>
        </w:rPr>
        <w:t>A zero-inclusive weekly category-region demand panel with lags, rolling features, and train/test flags.</w:t>
      </w:r>
    </w:p>
    <w:p w14:paraId="6A7B6489" w14:textId="77777777" w:rsidR="00E96B4B" w:rsidRDefault="00E96B4B">
      <w:pPr>
        <w:rPr>
          <w:rFonts w:ascii="Times New Roman" w:hAnsi="Times New Roman" w:cs="Times New Roman" w:eastAsia="Times New Roman"/>
        </w:rPr>
      </w:pPr>
      <w:r>
        <w:rPr>
          <w:rFonts w:ascii="Times New Roman" w:eastAsia="Times New Roman" w:hAnsi="Times New Roman" w:cs="Times New Roman"/>
          <w:szCs w:val="21"/>
        </w:rPr>
        <w:t>A route-and-hub parameter table containing historical supply share, median freight, weight, capacity proxies, and seller-risk measures.</w:t>
      </w:r>
    </w:p>
    <w:p w14:paraId="1ACCD6CE" w14:textId="77777777" w:rsidR="00E96B4B" w:rsidRDefault="00E96B4B">
      <w:pPr>
        <w:rPr>
          <w:rFonts w:ascii="Times New Roman" w:hAnsi="Times New Roman" w:cs="Times New Roman" w:eastAsia="Times New Roman"/>
        </w:rPr>
      </w:pPr>
      <w:r>
        <w:rPr>
          <w:rFonts w:ascii="Times New Roman" w:eastAsia="Times New Roman" w:hAnsi="Times New Roman" w:cs="Times New Roman"/>
          <w:szCs w:val="21"/>
        </w:rPr>
        <w:t>A forecast table containing actual demand, last-week, moving-average, pooled Ridge forecasts, residual scale, and safety-adjusted planning demand.</w:t>
      </w:r>
    </w:p>
    <w:p w14:paraId="3F595A0D" w14:textId="77777777" w:rsidR="00E96B4B" w:rsidRDefault="00E96B4B">
      <w:pPr>
        <w:rPr>
          <w:rFonts w:ascii="Times New Roman" w:hAnsi="Times New Roman" w:cs="Times New Roman" w:eastAsia="Times New Roman"/>
        </w:rPr>
      </w:pPr>
      <w:r>
        <w:rPr>
          <w:rFonts w:ascii="Times New Roman" w:eastAsia="Times New Roman" w:hAnsi="Times New Roman" w:cs="Times New Roman"/>
          <w:szCs w:val="21"/>
        </w:rPr>
        <w:t>An optimization input table separating Olist-observed, derived, and scenario-assumed parameters.</w:t>
      </w:r>
    </w:p>
    <w:p w14:paraId="61E08DEC" w14:textId="77777777" w:rsidR="00E96B4B" w:rsidRDefault="00E96B4B">
      <w:pPr>
        <w:rPr>
          <w:rFonts w:ascii="Times New Roman" w:hAnsi="Times New Roman" w:cs="Times New Roman" w:eastAsia="Times New Roman"/>
        </w:rPr>
      </w:pPr>
      <w:r>
        <w:rPr>
          <w:rFonts w:ascii="Times New Roman" w:eastAsia="Times New Roman" w:hAnsi="Times New Roman" w:cs="Times New Roman"/>
          <w:szCs w:val="21"/>
        </w:rPr>
        <w:t>A decision table containing replenishment, planned allocation, realized fulfillment, shortage, inventory, service-gap slack, and cost components.</w:t>
      </w:r>
    </w:p>
    <w:p w14:paraId="7EB17178" w14:textId="77777777" w:rsidR="00E96B4B" w:rsidRDefault="00E96B4B">
      <w:pPr>
        <w:rPr>
          <w:rFonts w:ascii="Times New Roman" w:hAnsi="Times New Roman" w:cs="Times New Roman" w:eastAsia="Times New Roman"/>
        </w:rPr>
      </w:pPr>
      <w:r>
        <w:rPr>
          <w:rFonts w:ascii="Times New Roman" w:eastAsia="Times New Roman" w:hAnsi="Times New Roman" w:cs="Times New Roman"/>
          <w:szCs w:val="21"/>
        </w:rPr>
        <w:t xml:space="preserve">Summary charts and tables for demand patterns, forecast errors, risk concentration, cost-service </w:t>
      </w:r>
      <w:r>
        <w:rPr>
          <w:rFonts w:ascii="Times New Roman" w:eastAsia="Times New Roman" w:hAnsi="Times New Roman" w:cs="Times New Roman"/>
          <w:szCs w:val="21"/>
        </w:rPr>
        <w:lastRenderedPageBreak/>
        <w:t>trade-offs, policy comparison, and sensitivity analysis.</w:t>
      </w:r>
    </w:p>
    <w:p w14:paraId="3E442F94" w14:textId="77777777" w:rsidR="00E96B4B" w:rsidRDefault="00E96B4B">
      <w:pPr>
        <w:rPr>
          <w:rFonts w:ascii="Times New Roman" w:hAnsi="Times New Roman" w:cs="Times New Roman" w:hint="eastAsia" w:eastAsia="Times New Roman"/>
        </w:rPr>
      </w:pPr>
    </w:p>
    <w:p w14:paraId="58E22744" w14:textId="01B3141D" w:rsidR="00E96B4B" w:rsidRDefault="00000000">
      <w:pPr>
        <w:rPr>
          <w:rFonts w:ascii="Times New Roman" w:hAnsi="Times New Roman" w:cs="Times New Roman" w:eastAsia="Times New Roman"/>
          <w:b/>
          <w:bCs/>
        </w:rPr>
      </w:pPr>
      <w:r>
        <w:rPr>
          <w:rFonts w:ascii="Times New Roman" w:eastAsia="Times New Roman" w:hAnsi="Times New Roman" w:cs="Times New Roman"/>
          <w:b/>
          <w:szCs w:val="21"/>
        </w:rPr>
        <w:t>1</w:t>
      </w:r>
      <w:r w:rsidR="00010499">
        <w:rPr>
          <w:rFonts w:ascii="Times New Roman" w:eastAsia="Times New Roman" w:hAnsi="Times New Roman" w:cs="Times New Roman" w:hint="eastAsia"/>
          <w:b/>
          <w:szCs w:val="21"/>
        </w:rPr>
        <w:t>1</w:t>
      </w:r>
      <w:r>
        <w:rPr>
          <w:rFonts w:ascii="Times New Roman" w:eastAsia="Times New Roman" w:hAnsi="Times New Roman" w:cs="Times New Roman"/>
          <w:b/>
          <w:szCs w:val="21"/>
        </w:rPr>
        <w:t>. Expected Contribution</w:t>
      </w:r>
    </w:p>
    <w:p w14:paraId="7709481F"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szCs w:val="21"/>
        </w:rPr>
        <w:t>The project is expected to contribute an implementable example of forecast-driven Operations Research using public e-commerce data. It will explain where demand and fulfillment risk are concentrated, whether a pooled model improves prediction over transparent baselines, how forecast uncertainty changes replenishment, and how inventory and route capacity affect regional service. The final comparison will show when better statistical forecasts create meaningful cost or service improvements and when simple forecasts are sufficient.</w:t>
      </w:r>
    </w:p>
    <w:p w14:paraId="3A20C719" w14:textId="77777777" w:rsidR="00E96B4B" w:rsidRDefault="00000000">
      <w:pPr>
        <w:rPr>
          <w:rFonts w:ascii="Times New Roman" w:hAnsi="Times New Roman" w:cs="Times New Roman" w:eastAsia="Times New Roman"/>
          <w:b/>
          <w:bCs/>
        </w:rPr>
      </w:pPr>
      <w:r>
        <w:rPr>
          <w:rFonts w:ascii="Times New Roman" w:eastAsia="Times New Roman" w:hAnsi="Times New Roman" w:cs="Times New Roman"/>
          <w:szCs w:val="21"/>
        </w:rPr>
        <w:t>Methodologically, the project will make a clear distinction between facts observed in Olist, variables derived from those facts, and scenario assumptions needed for a counterfactual multi-hub system. This distinction, together with rolling validation and sensitivity analysis, will make the results auditable and prevent simulated parameters from being mistaken for real Olist operating data.</w:t>
      </w:r>
    </w:p>
    <w:p w14:paraId="1682CAE6" w14:textId="77777777" w:rsidR="00E96B4B" w:rsidRDefault="00E96B4B">
      <w:pPr>
        <w:rPr>
          <w:rFonts w:ascii="Times New Roman" w:hAnsi="Times New Roman" w:cs="Times New Roman" w:eastAsia="Times New Roman"/>
        </w:rPr>
      </w:pPr>
    </w:p>
    <w:p w14:paraId="32AE919A" w14:textId="5A2CE151" w:rsidR="00E96B4B" w:rsidRDefault="00000000">
      <w:pPr>
        <w:rPr>
          <w:rFonts w:ascii="Times New Roman" w:hAnsi="Times New Roman" w:cs="Times New Roman" w:eastAsia="Times New Roman"/>
          <w:b/>
          <w:bCs/>
        </w:rPr>
      </w:pPr>
      <w:r>
        <w:rPr>
          <w:rFonts w:ascii="Times New Roman" w:eastAsia="Times New Roman" w:hAnsi="Times New Roman" w:cs="Times New Roman"/>
          <w:b/>
          <w:szCs w:val="21"/>
        </w:rPr>
        <w:t>References</w:t>
      </w:r>
    </w:p>
    <w:p w14:paraId="71409407" w14:textId="06CCBEC4" w:rsidR="00B70156" w:rsidRPr="00B70156" w:rsidRDefault="00B70156" w:rsidP="00B70156">
      <w:pPr>
        <w:rPr>
          <w:rFonts w:ascii="Times New Roman" w:eastAsia="Times New Roman" w:hAnsi="Times New Roman" w:cs="Times New Roman" w:hint="eastAsia"/>
          <w:szCs w:val="21"/>
        </w:rPr>
      </w:pPr>
      <w:r w:rsidRPr="00B70156">
        <w:rPr>
          <w:rFonts w:ascii="Times New Roman" w:eastAsia="Times New Roman" w:hAnsi="Times New Roman" w:cs="Times New Roman"/>
          <w:szCs w:val="21"/>
        </w:rPr>
        <w:t>Bertsimas, D., &amp; Kallus, N. (2020). From predictive to prescriptive analytics. Management Science, 66(3), 1025–1044.</w:t>
      </w:r>
    </w:p>
    <w:p w14:paraId="05EAD044" w14:textId="77BF0C9D" w:rsidR="00B70156" w:rsidRPr="00B70156" w:rsidRDefault="00B70156" w:rsidP="00B70156">
      <w:pPr>
        <w:rPr>
          <w:rFonts w:ascii="Times New Roman" w:eastAsia="Times New Roman" w:hAnsi="Times New Roman" w:cs="Times New Roman" w:hint="eastAsia"/>
          <w:szCs w:val="21"/>
        </w:rPr>
      </w:pPr>
      <w:r w:rsidRPr="00B70156">
        <w:rPr>
          <w:rFonts w:ascii="Times New Roman" w:eastAsia="Times New Roman" w:hAnsi="Times New Roman" w:cs="Times New Roman"/>
          <w:szCs w:val="21"/>
        </w:rPr>
        <w:t>Elmachtoub, A. N., &amp; Grigas, P. (2022). Smart predict, then optimize. Management Science, 68(1), 9–26.</w:t>
      </w:r>
    </w:p>
    <w:p w14:paraId="0A4C2D53" w14:textId="7753D1B4" w:rsidR="00B70156" w:rsidRPr="00B70156" w:rsidRDefault="00B70156" w:rsidP="00B70156">
      <w:pPr>
        <w:rPr>
          <w:rFonts w:ascii="Times New Roman" w:eastAsia="Times New Roman" w:hAnsi="Times New Roman" w:cs="Times New Roman" w:hint="eastAsia"/>
          <w:szCs w:val="21"/>
        </w:rPr>
      </w:pPr>
      <w:r w:rsidRPr="00B70156">
        <w:rPr>
          <w:rFonts w:ascii="Times New Roman" w:eastAsia="Times New Roman" w:hAnsi="Times New Roman" w:cs="Times New Roman"/>
          <w:szCs w:val="21"/>
        </w:rPr>
        <w:t>Fildes, R., Ma, S., &amp; Kolassa, S. (2022). Retail forecasting: Research and practice. International Journal of Forecasting, 38(4), 1283–1318.</w:t>
      </w:r>
    </w:p>
    <w:p w14:paraId="154D14FB" w14:textId="65A0CB2B" w:rsidR="00B70156" w:rsidRPr="00B70156" w:rsidRDefault="00B70156" w:rsidP="00B70156">
      <w:pPr>
        <w:rPr>
          <w:rFonts w:ascii="Times New Roman" w:eastAsia="Times New Roman" w:hAnsi="Times New Roman" w:cs="Times New Roman" w:hint="eastAsia"/>
          <w:szCs w:val="21"/>
        </w:rPr>
      </w:pPr>
      <w:r w:rsidRPr="00B70156">
        <w:rPr>
          <w:rFonts w:ascii="Times New Roman" w:eastAsia="Times New Roman" w:hAnsi="Times New Roman" w:cs="Times New Roman"/>
          <w:szCs w:val="21"/>
        </w:rPr>
        <w:t xml:space="preserve">Hyndman, R. J., &amp; Athanasopoulos, G. (2021). Forecasting: Principles and Practice (3rd ed.). </w:t>
      </w:r>
      <w:proofErr w:type="spellStart"/>
      <w:r w:rsidRPr="00B70156">
        <w:rPr>
          <w:rFonts w:ascii="Times New Roman" w:eastAsia="Times New Roman" w:hAnsi="Times New Roman" w:cs="Times New Roman"/>
          <w:szCs w:val="21"/>
        </w:rPr>
        <w:t>OTexts</w:t>
      </w:r>
      <w:proofErr w:type="spellEnd"/>
      <w:r w:rsidRPr="00B70156">
        <w:rPr>
          <w:rFonts w:ascii="Times New Roman" w:eastAsia="Times New Roman" w:hAnsi="Times New Roman" w:cs="Times New Roman"/>
          <w:szCs w:val="21"/>
        </w:rPr>
        <w:t>.</w:t>
      </w:r>
    </w:p>
    <w:p w14:paraId="03A9B125" w14:textId="649F164C" w:rsidR="00B70156" w:rsidRPr="00B70156" w:rsidRDefault="00B70156" w:rsidP="00B70156">
      <w:pPr>
        <w:rPr>
          <w:rFonts w:ascii="Times New Roman" w:eastAsia="Times New Roman" w:hAnsi="Times New Roman" w:cs="Times New Roman" w:hint="eastAsia"/>
          <w:szCs w:val="21"/>
        </w:rPr>
      </w:pPr>
      <w:r w:rsidRPr="00B70156">
        <w:rPr>
          <w:rFonts w:ascii="Times New Roman" w:eastAsia="Times New Roman" w:hAnsi="Times New Roman" w:cs="Times New Roman"/>
          <w:szCs w:val="21"/>
        </w:rPr>
        <w:t>Snyder, L. V., &amp; Shen, Z.-J. M. (2019). Fundamentals of Supply Chain Theory (2nd ed.). Wiley.</w:t>
      </w:r>
    </w:p>
    <w:p w14:paraId="6E58F87D" w14:textId="1FFD9057" w:rsidR="00E96B4B" w:rsidRPr="00B70156" w:rsidRDefault="00B70156" w:rsidP="00B70156">
      <w:pPr>
        <w:rPr>
          <w:rFonts w:ascii="Times New Roman" w:hAnsi="Times New Roman" w:cs="Times New Roman" w:eastAsia="Times New Roman"/>
          <w:b/>
          <w:bCs/>
        </w:rPr>
      </w:pPr>
      <w:proofErr w:type="spellStart"/>
      <w:r w:rsidRPr="00B70156">
        <w:rPr>
          <w:rFonts w:ascii="Times New Roman" w:eastAsia="Times New Roman" w:hAnsi="Times New Roman" w:cs="Times New Roman"/>
          <w:szCs w:val="21"/>
        </w:rPr>
        <w:t>Olist</w:t>
      </w:r>
      <w:proofErr w:type="spellEnd"/>
      <w:r w:rsidRPr="00B70156">
        <w:rPr>
          <w:rFonts w:ascii="Times New Roman" w:eastAsia="Times New Roman" w:hAnsi="Times New Roman" w:cs="Times New Roman"/>
          <w:szCs w:val="21"/>
        </w:rPr>
        <w:t xml:space="preserve">. Brazilian E-Commerce Public Dataset by </w:t>
      </w:r>
      <w:proofErr w:type="spellStart"/>
      <w:r w:rsidRPr="00B70156">
        <w:rPr>
          <w:rFonts w:ascii="Times New Roman" w:eastAsia="Times New Roman" w:hAnsi="Times New Roman" w:cs="Times New Roman"/>
          <w:szCs w:val="21"/>
        </w:rPr>
        <w:t>Olist</w:t>
      </w:r>
      <w:proofErr w:type="spellEnd"/>
      <w:r w:rsidRPr="00B70156">
        <w:rPr>
          <w:rFonts w:ascii="Times New Roman" w:eastAsia="Times New Roman" w:hAnsi="Times New Roman" w:cs="Times New Roman"/>
          <w:szCs w:val="21"/>
        </w:rPr>
        <w:t>. Public marketplace transaction dataset.</w:t>
      </w:r>
    </w:p>
    <w:sectPr w:rsidR="00E96B4B" w:rsidRPr="00B701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Times New Roman Bold">
    <w:altName w:val="Times New Roman"/>
    <w:panose1 w:val="020B0604020202020204"/>
    <w:charset w:val="00"/>
    <w:family w:val="auto"/>
    <w:pitch w:val="default"/>
    <w:sig w:usb0="E0002AEF" w:usb1="C0007841" w:usb2="00000009" w:usb3="00000000" w:csb0="400001FF" w:csb1="FFFF0000"/>
  </w:font>
  <w:font w:name="Times New Roman Regular">
    <w:altName w:val="Times New Roman"/>
    <w:panose1 w:val="020B0604020202020204"/>
    <w:charset w:val="00"/>
    <w:family w:val="auto"/>
    <w:pitch w:val="default"/>
    <w:sig w:usb0="E0002AEF" w:usb1="C0007841" w:usb2="00000009" w:usb3="00000000" w:csb0="400001FF" w:csb1="FFFF0000"/>
  </w:font>
  <w:font w:name="Times New Roman Italic">
    <w:altName w:val="Times New Roman"/>
    <w:panose1 w:val="020B0604020202020204"/>
    <w:charset w:val="00"/>
    <w:family w:val="auto"/>
    <w:pitch w:val="default"/>
    <w:sig w:usb0="E0002AEF" w:usb1="C0007841" w:usb2="00000009" w:usb3="00000000" w:csb0="400001FF" w:csb1="FFFF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4D1575"/>
    <w:multiLevelType w:val="singleLevel"/>
    <w:tmpl w:val="FF4D1575"/>
    <w:lvl w:ilvl="0">
      <w:start w:val="1"/>
      <w:numFmt w:val="decimal"/>
      <w:suff w:val="space"/>
      <w:lvlText w:val="%1."/>
      <w:lvlJc w:val="left"/>
    </w:lvl>
  </w:abstractNum>
  <w:abstractNum w:abstractNumId="1" w15:restartNumberingAfterBreak="0">
    <w:nsid w:val="7FFE6B08"/>
    <w:multiLevelType w:val="singleLevel"/>
    <w:tmpl w:val="7FFE6B08"/>
    <w:lvl w:ilvl="0">
      <w:start w:val="1"/>
      <w:numFmt w:val="decimal"/>
      <w:suff w:val="space"/>
      <w:lvlText w:val="%1."/>
      <w:lvlJc w:val="left"/>
    </w:lvl>
  </w:abstractNum>
  <w:num w:numId="1" w16cid:durableId="1145388210">
    <w:abstractNumId w:val="0"/>
  </w:num>
  <w:num w:numId="2" w16cid:durableId="38865458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D57F5CC6"/>
    <w:rsid w:val="00010499"/>
    <w:rsid w:val="003E62EF"/>
    <w:rsid w:val="0081059A"/>
    <w:rsid w:val="00AA5055"/>
    <w:rsid w:val="00B70156"/>
    <w:rsid w:val="00D43DF9"/>
    <w:rsid w:val="00E96B4B"/>
    <w:rsid w:val="D57F5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78C2146"/>
  <w15:docId w15:val="{A2DFCC7C-450C-A749-8B68-4F0A429D2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kern w:val="2"/>
      <w:sz w:val="21"/>
      <w:szCs w:val="24"/>
    </w:rPr>
  </w:style>
  <w:style w:type="character" w:default="1" w:styleId="a0">
    <w:name w:val="Default Paragraph Font"/>
    <w:uiPriority w:val="1"/>
    <w:semiHidden/>
    <w:unhideWhenUsed/>
    <w:rPr>
      <w:rFonts w:ascii="Times New Roman" w:hAnsi="Times New Roman"/>
    </w:rPr>
  </w:style>
  <w:style w:type="table" w:default="1" w:styleId="a1">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1950</Words>
  <Characters>11121</Characters>
  <Application>Microsoft Office Word</Application>
  <DocSecurity>0</DocSecurity>
  <Lines>92</Lines>
  <Paragraphs>26</Paragraphs>
  <ScaleCrop>false</ScaleCrop>
  <Company/>
  <LinksUpToDate>false</LinksUpToDate>
  <CharactersWithSpaces>13045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三射迪</dc:creator>
  <cp:lastModifiedBy>T197295</cp:lastModifiedBy>
  <cp:revision>7</cp:revision>
  <dcterms:created xsi:type="dcterms:W3CDTF">2026-08-18T14:46:00Z</dcterms:created>
  <dcterms:modified xsi:type="dcterms:W3CDTF">2026-08-21T15:08:00Z</dcterms:modified>
  <dc:title>Olist Forecast-Driven OR Project Proposal</dc:title>
  <dc:subject>Teacher-feedback-aligned proposal with explicit benchmarks, uncertainty, parameter rationale, and scoped research questions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2052-12.1.23135.23135</vt:lpwstr>
  </property>
  <property fmtid="{D5CDD505-2E9C-101B-9397-08002B2CF9AE}" pid="3" name="ICV">
    <vt:lpwstr>FA3B179CF9C4DA006FA8846A6CBAB6E0_41</vt:lpwstr>
  </property>
</Properties>
</file>