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36"/>
        </w:rPr>
        <w:t>Proposal: Demand Forecasting and Inventory-Fulfillment Optimization for E-commerce Operations</w:t>
      </w:r>
    </w:p>
    <w:p>
      <w:pPr>
        <w:jc w:val="center"/>
      </w:pPr>
      <w:r>
        <w:rPr>
          <w:rFonts w:ascii="Calibri" w:hAnsi="Calibri"/>
          <w:i/>
          <w:color w:val="555555"/>
          <w:sz w:val="22"/>
        </w:rPr>
        <w:t>An Olist Data-Based Operations Research Project</w:t>
      </w:r>
    </w:p>
    <w:p>
      <w:pPr>
        <w:pStyle w:val="Heading1"/>
      </w:pPr>
      <w:r>
        <w:rPr>
          <w:rFonts w:ascii="Calibri" w:hAnsi="Calibri"/>
          <w:color w:val="2E74B5"/>
        </w:rPr>
        <w:t>1. Project Title</w:t>
      </w:r>
    </w:p>
    <w:p>
      <w:pPr>
        <w:spacing w:after="160" w:line="300" w:lineRule="auto"/>
      </w:pPr>
      <w:r>
        <w:rPr>
          <w:rFonts w:ascii="Calibri" w:hAnsi="Calibri"/>
          <w:sz w:val="22"/>
        </w:rPr>
        <w:t>Demand Forecasting and Inventory-Fulfillment Optimization for E-commerce Operations: An Olist Data-Based OR Approach.</w:t>
      </w:r>
    </w:p>
    <w:p>
      <w:pPr>
        <w:pStyle w:val="Heading1"/>
      </w:pPr>
      <w:r>
        <w:rPr>
          <w:rFonts w:ascii="Calibri" w:hAnsi="Calibri"/>
          <w:color w:val="2E74B5"/>
        </w:rPr>
        <w:t>2. Project Motivation and Background</w:t>
      </w:r>
    </w:p>
    <w:p>
      <w:pPr>
        <w:spacing w:after="160" w:line="300" w:lineRule="auto"/>
      </w:pPr>
      <w:r>
        <w:rPr>
          <w:rFonts w:ascii="Calibri" w:hAnsi="Calibri"/>
          <w:sz w:val="22"/>
        </w:rPr>
        <w:t>In e-commerce operations, customers expect fast delivery after placing an order. However, fast fulfillment is not only a delivery problem. It depends on whether inventory has been prepared in advance, whether sellers or warehouses can fulfill demand on time, where customers are located, and how demand fluctuates across product categories and regions.</w:t>
      </w:r>
    </w:p>
    <w:p>
      <w:pPr>
        <w:spacing w:after="160" w:line="300" w:lineRule="auto"/>
      </w:pPr>
      <w:r>
        <w:rPr>
          <w:rFonts w:ascii="Calibri" w:hAnsi="Calibri"/>
          <w:sz w:val="22"/>
        </w:rPr>
        <w:t>If a firm cannot anticipate future demand, two operational problems may occur. First, insufficient inventory can lead to stockouts, late delivery, emergency procurement, or order delays. Second, excessive inventory increases holding cost and ties up capital, especially for categories with unstable demand. Therefore, this project combines data analysis, demand forecasting, and traditional OR optimization to support inventory and fulfillment decisions.</w:t>
      </w:r>
    </w:p>
    <w:p>
      <w:pPr>
        <w:spacing w:after="160" w:line="300" w:lineRule="auto"/>
      </w:pPr>
      <w:r>
        <w:rPr>
          <w:rFonts w:ascii="Calibri" w:hAnsi="Calibri"/>
          <w:sz w:val="22"/>
        </w:rPr>
        <w:t>The central business question is: how can an e-commerce firm use historical transaction data to forecast demand, prepare inventory, and allocate fulfillment decisions in a way that balances total cost and service quality?</w:t>
      </w:r>
    </w:p>
    <w:p>
      <w:pPr>
        <w:pStyle w:val="Heading1"/>
      </w:pPr>
      <w:r>
        <w:rPr>
          <w:rFonts w:ascii="Calibri" w:hAnsi="Calibri"/>
          <w:color w:val="2E74B5"/>
        </w:rPr>
        <w:t>3. Literature-Informed Design</w:t>
      </w:r>
    </w:p>
    <w:p>
      <w:pPr>
        <w:spacing w:after="160" w:line="300" w:lineRule="auto"/>
      </w:pPr>
      <w:r>
        <w:rPr>
          <w:rFonts w:ascii="Calibri" w:hAnsi="Calibri"/>
          <w:sz w:val="22"/>
        </w:rPr>
        <w:t>Recent supply chain and e-commerce studies suggest that a fulfillment model should not be built as a purely mathematical exercise. Historical data should first be used to understand demand patterns, delivery performance, and operational risk. Three literature streams guide this proposal.</w:t>
      </w:r>
    </w:p>
    <w:p>
      <w:pPr>
        <w:pStyle w:val="ListNumber"/>
        <w:spacing w:after="80" w:line="276" w:lineRule="auto"/>
      </w:pPr>
      <w:r>
        <w:rPr>
          <w:rFonts w:ascii="Calibri" w:hAnsi="Calibri"/>
          <w:sz w:val="21"/>
        </w:rPr>
        <w:t>Demand forecasting and inventory planning: prior research shows that demand uncertainty is a major driver of inventory cost and service failures. Forecasting models are commonly used as inputs to inventory optimization rather than as standalone analytics outputs.</w:t>
      </w:r>
    </w:p>
    <w:p>
      <w:pPr>
        <w:pStyle w:val="ListNumber"/>
        <w:spacing w:after="80" w:line="276" w:lineRule="auto"/>
      </w:pPr>
      <w:r>
        <w:rPr>
          <w:rFonts w:ascii="Calibri" w:hAnsi="Calibri"/>
          <w:sz w:val="21"/>
        </w:rPr>
        <w:t>Data-driven fulfillment risk identification: e-commerce fulfillment performance varies across sellers, product categories, customer regions, and delivery distances. Historical order and delivery records can be used to estimate lateness risk, regional service pressure, and fulfillment difficulty.</w:t>
      </w:r>
    </w:p>
    <w:p>
      <w:pPr>
        <w:pStyle w:val="ListNumber"/>
        <w:spacing w:after="80" w:line="276" w:lineRule="auto"/>
      </w:pPr>
      <w:r>
        <w:rPr>
          <w:rFonts w:ascii="Calibri" w:hAnsi="Calibri"/>
          <w:sz w:val="21"/>
        </w:rPr>
        <w:t>Joint inventory and fulfillment optimization: recent OR research increasingly connects stocking decisions with downstream fulfillment allocation, because inventory availability directly affects whether demand can be served locally, cross-regionally, or not at all.</w:t>
      </w:r>
    </w:p>
    <w:p>
      <w:pPr>
        <w:spacing w:after="160" w:line="300" w:lineRule="auto"/>
      </w:pPr>
      <w:r>
        <w:rPr>
          <w:rFonts w:ascii="Calibri" w:hAnsi="Calibri"/>
          <w:sz w:val="22"/>
        </w:rPr>
        <w:t>Based on these insights, this project follows a data-driven OR pipeline: build category-region weekly demand from Olist data, forecast future demand, convert forecasts into inventory planning inputs, solve an optimization model, and compare the resulting policy with simple benchmarks.</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fill="F4F6F9"/>
          </w:tcPr>
          <w:p>
            <w:r/>
            <w:r>
              <w:rPr>
                <w:rFonts w:ascii="Calibri" w:hAnsi="Calibri"/>
                <w:b/>
                <w:sz w:val="18"/>
              </w:rPr>
              <w:t>Literature theme</w:t>
            </w:r>
          </w:p>
        </w:tc>
        <w:tc>
          <w:tcPr>
            <w:tcW w:type="dxa" w:w="5904"/>
            <w:vAlign w:val="center"/>
            <w:shd w:fill="F4F6F9"/>
          </w:tcPr>
          <w:p>
            <w:r/>
            <w:r>
              <w:rPr>
                <w:rFonts w:ascii="Calibri" w:hAnsi="Calibri"/>
                <w:b/>
                <w:sz w:val="18"/>
              </w:rPr>
              <w:t>Key insight for this project</w:t>
            </w:r>
          </w:p>
        </w:tc>
      </w:tr>
      <w:tr>
        <w:tc>
          <w:tcPr>
            <w:tcW w:type="dxa" w:w="3168"/>
            <w:vAlign w:val="center"/>
          </w:tcPr>
          <w:p>
            <w:r/>
            <w:r>
              <w:rPr>
                <w:rFonts w:ascii="Calibri" w:hAnsi="Calibri"/>
                <w:b w:val="0"/>
                <w:sz w:val="18"/>
              </w:rPr>
              <w:t>Forecast-driven inventory</w:t>
            </w:r>
          </w:p>
        </w:tc>
        <w:tc>
          <w:tcPr>
            <w:tcW w:type="dxa" w:w="5904"/>
            <w:vAlign w:val="center"/>
          </w:tcPr>
          <w:p>
            <w:r/>
            <w:r>
              <w:rPr>
                <w:rFonts w:ascii="Calibri" w:hAnsi="Calibri"/>
                <w:b w:val="0"/>
                <w:sz w:val="18"/>
              </w:rPr>
              <w:t>Forecasts should be operational inputs for replenishment and safety stock decisions.</w:t>
            </w:r>
          </w:p>
        </w:tc>
      </w:tr>
      <w:tr>
        <w:tc>
          <w:tcPr>
            <w:tcW w:type="dxa" w:w="3168"/>
            <w:vAlign w:val="center"/>
          </w:tcPr>
          <w:p>
            <w:r/>
            <w:r>
              <w:rPr>
                <w:rFonts w:ascii="Calibri" w:hAnsi="Calibri"/>
                <w:b w:val="0"/>
                <w:sz w:val="18"/>
              </w:rPr>
              <w:t>E-commerce fulfillment risk</w:t>
            </w:r>
          </w:p>
        </w:tc>
        <w:tc>
          <w:tcPr>
            <w:tcW w:type="dxa" w:w="5904"/>
            <w:vAlign w:val="center"/>
          </w:tcPr>
          <w:p>
            <w:r/>
            <w:r>
              <w:rPr>
                <w:rFonts w:ascii="Calibri" w:hAnsi="Calibri"/>
                <w:b w:val="0"/>
                <w:sz w:val="18"/>
              </w:rPr>
              <w:t>Historical delivery and seller-region patterns help identify where service failures are more likely.</w:t>
            </w:r>
          </w:p>
        </w:tc>
      </w:tr>
      <w:tr>
        <w:tc>
          <w:tcPr>
            <w:tcW w:type="dxa" w:w="3168"/>
            <w:vAlign w:val="center"/>
          </w:tcPr>
          <w:p>
            <w:r/>
            <w:r>
              <w:rPr>
                <w:rFonts w:ascii="Calibri" w:hAnsi="Calibri"/>
                <w:b w:val="0"/>
                <w:sz w:val="18"/>
              </w:rPr>
              <w:t>Inventory-fulfillment integration</w:t>
            </w:r>
          </w:p>
        </w:tc>
        <w:tc>
          <w:tcPr>
            <w:tcW w:type="dxa" w:w="5904"/>
            <w:vAlign w:val="center"/>
          </w:tcPr>
          <w:p>
            <w:r/>
            <w:r>
              <w:rPr>
                <w:rFonts w:ascii="Calibri" w:hAnsi="Calibri"/>
                <w:b w:val="0"/>
                <w:sz w:val="18"/>
              </w:rPr>
              <w:t>Stocking and order allocation should be evaluated together through cost and service metrics.</w:t>
            </w:r>
          </w:p>
        </w:tc>
      </w:tr>
    </w:tbl>
    <w:p/>
    <w:p>
      <w:pPr>
        <w:pStyle w:val="Heading1"/>
      </w:pPr>
      <w:r>
        <w:rPr>
          <w:rFonts w:ascii="Calibri" w:hAnsi="Calibri"/>
          <w:color w:val="2E74B5"/>
        </w:rPr>
        <w:t>4. Data Source and Data Availability</w:t>
      </w:r>
    </w:p>
    <w:p>
      <w:pPr>
        <w:spacing w:after="160" w:line="300" w:lineRule="auto"/>
      </w:pPr>
      <w:r>
        <w:rPr>
          <w:rFonts w:ascii="Calibri" w:hAnsi="Calibri"/>
          <w:sz w:val="22"/>
        </w:rPr>
        <w:t>This project uses the public Brazilian E-Commerce Public Dataset by Olist. The dataset contains real marketplace orders, order items, products, customers, sellers, payments, reviews, and delivery timestamps. The core model mainly uses order, product, customer, seller, and logistics-related files.</w:t>
      </w:r>
    </w:p>
    <w:tbl>
      <w:tblPr>
        <w:tblStyle w:val="TableGrid"/>
        <w:tblW w:type="auto" w:w="0"/>
        <w:jc w:val="center"/>
        <w:tblLook w:firstColumn="1" w:firstRow="1" w:lastColumn="0" w:lastRow="0" w:noHBand="0" w:noVBand="1" w:val="04A0"/>
      </w:tblPr>
      <w:tblGrid>
        <w:gridCol w:w="4680"/>
        <w:gridCol w:w="4680"/>
      </w:tblGrid>
      <w:tr>
        <w:tc>
          <w:tcPr>
            <w:tcW w:type="dxa" w:w="3888"/>
            <w:vAlign w:val="center"/>
            <w:shd w:fill="F4F6F9"/>
          </w:tcPr>
          <w:p>
            <w:r/>
            <w:r>
              <w:rPr>
                <w:rFonts w:ascii="Calibri" w:hAnsi="Calibri"/>
                <w:b/>
                <w:sz w:val="18"/>
              </w:rPr>
              <w:t>Raw file</w:t>
            </w:r>
          </w:p>
        </w:tc>
        <w:tc>
          <w:tcPr>
            <w:tcW w:type="dxa" w:w="5328"/>
            <w:vAlign w:val="center"/>
            <w:shd w:fill="F4F6F9"/>
          </w:tcPr>
          <w:p>
            <w:r/>
            <w:r>
              <w:rPr>
                <w:rFonts w:ascii="Calibri" w:hAnsi="Calibri"/>
                <w:b/>
                <w:sz w:val="18"/>
              </w:rPr>
              <w:t>Main use in this project</w:t>
            </w:r>
          </w:p>
        </w:tc>
      </w:tr>
      <w:tr>
        <w:tc>
          <w:tcPr>
            <w:tcW w:type="dxa" w:w="3888"/>
            <w:vAlign w:val="center"/>
          </w:tcPr>
          <w:p>
            <w:r/>
            <w:r>
              <w:rPr>
                <w:rFonts w:ascii="Calibri" w:hAnsi="Calibri"/>
                <w:b w:val="0"/>
                <w:sz w:val="18"/>
              </w:rPr>
              <w:t>olist_orders_dataset.csv</w:t>
            </w:r>
          </w:p>
        </w:tc>
        <w:tc>
          <w:tcPr>
            <w:tcW w:type="dxa" w:w="5328"/>
            <w:vAlign w:val="center"/>
          </w:tcPr>
          <w:p>
            <w:r/>
            <w:r>
              <w:rPr>
                <w:rFonts w:ascii="Calibri" w:hAnsi="Calibri"/>
                <w:b w:val="0"/>
                <w:sz w:val="18"/>
              </w:rPr>
              <w:t>Order date, order status, shipping date, delivery date.</w:t>
            </w:r>
          </w:p>
        </w:tc>
      </w:tr>
      <w:tr>
        <w:tc>
          <w:tcPr>
            <w:tcW w:type="dxa" w:w="3888"/>
            <w:vAlign w:val="center"/>
          </w:tcPr>
          <w:p>
            <w:r/>
            <w:r>
              <w:rPr>
                <w:rFonts w:ascii="Calibri" w:hAnsi="Calibri"/>
                <w:b w:val="0"/>
                <w:sz w:val="18"/>
              </w:rPr>
              <w:t>olist_order_items_dataset.csv</w:t>
            </w:r>
          </w:p>
        </w:tc>
        <w:tc>
          <w:tcPr>
            <w:tcW w:type="dxa" w:w="5328"/>
            <w:vAlign w:val="center"/>
          </w:tcPr>
          <w:p>
            <w:r/>
            <w:r>
              <w:rPr>
                <w:rFonts w:ascii="Calibri" w:hAnsi="Calibri"/>
                <w:b w:val="0"/>
                <w:sz w:val="18"/>
              </w:rPr>
              <w:t>Product ID, seller ID, item price, freight value.</w:t>
            </w:r>
          </w:p>
        </w:tc>
      </w:tr>
      <w:tr>
        <w:tc>
          <w:tcPr>
            <w:tcW w:type="dxa" w:w="3888"/>
            <w:vAlign w:val="center"/>
          </w:tcPr>
          <w:p>
            <w:r/>
            <w:r>
              <w:rPr>
                <w:rFonts w:ascii="Calibri" w:hAnsi="Calibri"/>
                <w:b w:val="0"/>
                <w:sz w:val="18"/>
              </w:rPr>
              <w:t>olist_products_dataset.csv</w:t>
            </w:r>
          </w:p>
        </w:tc>
        <w:tc>
          <w:tcPr>
            <w:tcW w:type="dxa" w:w="5328"/>
            <w:vAlign w:val="center"/>
          </w:tcPr>
          <w:p>
            <w:r/>
            <w:r>
              <w:rPr>
                <w:rFonts w:ascii="Calibri" w:hAnsi="Calibri"/>
                <w:b w:val="0"/>
                <w:sz w:val="18"/>
              </w:rPr>
              <w:t>Product category information.</w:t>
            </w:r>
          </w:p>
        </w:tc>
      </w:tr>
      <w:tr>
        <w:tc>
          <w:tcPr>
            <w:tcW w:type="dxa" w:w="3888"/>
            <w:vAlign w:val="center"/>
          </w:tcPr>
          <w:p>
            <w:r/>
            <w:r>
              <w:rPr>
                <w:rFonts w:ascii="Calibri" w:hAnsi="Calibri"/>
                <w:b w:val="0"/>
                <w:sz w:val="18"/>
              </w:rPr>
              <w:t>olist_customers_dataset.csv</w:t>
            </w:r>
          </w:p>
        </w:tc>
        <w:tc>
          <w:tcPr>
            <w:tcW w:type="dxa" w:w="5328"/>
            <w:vAlign w:val="center"/>
          </w:tcPr>
          <w:p>
            <w:r/>
            <w:r>
              <w:rPr>
                <w:rFonts w:ascii="Calibri" w:hAnsi="Calibri"/>
                <w:b w:val="0"/>
                <w:sz w:val="18"/>
              </w:rPr>
              <w:t>Customer city and state for regional demand construction.</w:t>
            </w:r>
          </w:p>
        </w:tc>
      </w:tr>
      <w:tr>
        <w:tc>
          <w:tcPr>
            <w:tcW w:type="dxa" w:w="3888"/>
            <w:vAlign w:val="center"/>
          </w:tcPr>
          <w:p>
            <w:r/>
            <w:r>
              <w:rPr>
                <w:rFonts w:ascii="Calibri" w:hAnsi="Calibri"/>
                <w:b w:val="0"/>
                <w:sz w:val="18"/>
              </w:rPr>
              <w:t>olist_sellers_dataset.csv</w:t>
            </w:r>
          </w:p>
        </w:tc>
        <w:tc>
          <w:tcPr>
            <w:tcW w:type="dxa" w:w="5328"/>
            <w:vAlign w:val="center"/>
          </w:tcPr>
          <w:p>
            <w:r/>
            <w:r>
              <w:rPr>
                <w:rFonts w:ascii="Calibri" w:hAnsi="Calibri"/>
                <w:b w:val="0"/>
                <w:sz w:val="18"/>
              </w:rPr>
              <w:t>Seller city and state for fulfillment-source analysis.</w:t>
            </w:r>
          </w:p>
        </w:tc>
      </w:tr>
      <w:tr>
        <w:tc>
          <w:tcPr>
            <w:tcW w:type="dxa" w:w="3888"/>
            <w:vAlign w:val="center"/>
          </w:tcPr>
          <w:p>
            <w:r/>
            <w:r>
              <w:rPr>
                <w:rFonts w:ascii="Calibri" w:hAnsi="Calibri"/>
                <w:b w:val="0"/>
                <w:sz w:val="18"/>
              </w:rPr>
              <w:t>product_category_name_translation.csv</w:t>
            </w:r>
          </w:p>
        </w:tc>
        <w:tc>
          <w:tcPr>
            <w:tcW w:type="dxa" w:w="5328"/>
            <w:vAlign w:val="center"/>
          </w:tcPr>
          <w:p>
            <w:r/>
            <w:r>
              <w:rPr>
                <w:rFonts w:ascii="Calibri" w:hAnsi="Calibri"/>
                <w:b w:val="0"/>
                <w:sz w:val="18"/>
              </w:rPr>
              <w:t>English category names for clearer reporting.</w:t>
            </w:r>
          </w:p>
        </w:tc>
      </w:tr>
    </w:tbl>
    <w:p/>
    <w:p>
      <w:pPr>
        <w:spacing w:after="160" w:line="300" w:lineRule="auto"/>
      </w:pPr>
      <w:r>
        <w:rPr>
          <w:rFonts w:ascii="Calibri" w:hAnsi="Calibri"/>
          <w:sz w:val="22"/>
        </w:rPr>
        <w:t>A preliminary data check shows that many individual product SKUs are sparse. Therefore, SKU-level forecasting is not recommended for this eight-day project. Instead, demand will be aggregated at a more stable and still meaningful level:</w:t>
      </w:r>
    </w:p>
    <w:p>
      <w:pPr>
        <w:spacing w:after="160" w:line="300" w:lineRule="auto"/>
      </w:pPr>
      <w:r>
        <w:rPr>
          <w:rFonts w:ascii="Calibri" w:hAnsi="Calibri"/>
          <w:sz w:val="22"/>
        </w:rPr>
        <w:t>Product Category x Customer Region x Week</w:t>
      </w:r>
    </w:p>
    <w:p>
      <w:pPr>
        <w:spacing w:after="160" w:line="300" w:lineRule="auto"/>
      </w:pPr>
      <w:r>
        <w:rPr>
          <w:rFonts w:ascii="Calibri" w:hAnsi="Calibri"/>
          <w:sz w:val="22"/>
        </w:rPr>
        <w:t>This aggregation improves forecast stability while preserving useful managerial insights about what categories are demanded in which regions.</w:t>
      </w:r>
    </w:p>
    <w:p>
      <w:pPr>
        <w:pStyle w:val="Heading1"/>
      </w:pPr>
      <w:r>
        <w:rPr>
          <w:rFonts w:ascii="Calibri" w:hAnsi="Calibri"/>
          <w:color w:val="2E74B5"/>
        </w:rPr>
        <w:t>5. Research Questions</w:t>
      </w:r>
    </w:p>
    <w:p>
      <w:pPr>
        <w:pStyle w:val="ListBullet"/>
        <w:spacing w:after="80" w:line="276" w:lineRule="auto"/>
      </w:pPr>
      <w:r>
        <w:rPr>
          <w:rFonts w:ascii="Calibri" w:hAnsi="Calibri"/>
          <w:sz w:val="21"/>
        </w:rPr>
        <w:t>RQ1: How can Olist historical order data be used to forecast future demand by product category and customer region?</w:t>
      </w:r>
    </w:p>
    <w:p>
      <w:pPr>
        <w:pStyle w:val="ListBullet"/>
        <w:spacing w:after="80" w:line="276" w:lineRule="auto"/>
      </w:pPr>
      <w:r>
        <w:rPr>
          <w:rFonts w:ascii="Calibri" w:hAnsi="Calibri"/>
          <w:sz w:val="21"/>
        </w:rPr>
        <w:t>RQ2: How can forecasted demand be converted into inventory planning decisions that reduce stockouts while controlling inventory cost?</w:t>
      </w:r>
    </w:p>
    <w:p>
      <w:pPr>
        <w:pStyle w:val="ListBullet"/>
        <w:spacing w:after="80" w:line="276" w:lineRule="auto"/>
      </w:pPr>
      <w:r>
        <w:rPr>
          <w:rFonts w:ascii="Calibri" w:hAnsi="Calibri"/>
          <w:sz w:val="21"/>
        </w:rPr>
        <w:t>RQ3: Under warehouse capacity, inventory availability, and fulfillment cost constraints, how should demand be allocated to fulfillment sources?</w:t>
      </w:r>
    </w:p>
    <w:p>
      <w:pPr>
        <w:pStyle w:val="ListBullet"/>
        <w:spacing w:after="80" w:line="276" w:lineRule="auto"/>
      </w:pPr>
      <w:r>
        <w:rPr>
          <w:rFonts w:ascii="Calibri" w:hAnsi="Calibri"/>
          <w:sz w:val="21"/>
        </w:rPr>
        <w:t>RQ4: Compared with simple benchmark policies, can a forecast-driven OR policy reduce total cost or improve service level?</w:t>
      </w:r>
    </w:p>
    <w:p>
      <w:pPr>
        <w:pStyle w:val="Heading1"/>
      </w:pPr>
      <w:r>
        <w:rPr>
          <w:rFonts w:ascii="Calibri" w:hAnsi="Calibri"/>
          <w:color w:val="2E74B5"/>
        </w:rPr>
        <w:t>6. Demand Forecasting Model</w:t>
      </w:r>
    </w:p>
    <w:p>
      <w:pPr>
        <w:spacing w:after="160" w:line="300" w:lineRule="auto"/>
      </w:pPr>
      <w:r>
        <w:rPr>
          <w:rFonts w:ascii="Calibri" w:hAnsi="Calibri"/>
          <w:sz w:val="22"/>
        </w:rPr>
        <w:t>Let c denote a product category, r denote a customer region, and t denote a week. D_{c,r,t} is the observed weekly demand, while D-hat_{c,r,t+1} is the predicted demand for the next week.</w:t>
      </w:r>
    </w:p>
    <w:p>
      <w:pPr>
        <w:pStyle w:val="Heading2"/>
      </w:pPr>
      <w:r>
        <w:rPr>
          <w:rFonts w:ascii="Calibri" w:hAnsi="Calibri"/>
          <w:color w:val="2E74B5"/>
        </w:rPr>
        <w:t>6.1 Moving Average Benchmark</w:t>
      </w:r>
    </w:p>
    <w:p>
      <w:pPr>
        <w:spacing w:after="160" w:line="300" w:lineRule="auto"/>
      </w:pPr>
      <w:r>
        <w:rPr>
          <w:rFonts w:ascii="Calibri" w:hAnsi="Calibri"/>
          <w:sz w:val="22"/>
        </w:rPr>
        <w:t>The moving average model predicts next week demand using the average demand over the most recent L weeks:</w:t>
      </w:r>
    </w:p>
    <w:p>
      <w:pPr>
        <w:spacing w:before="60" w:after="160"/>
        <w:jc w:val="center"/>
      </w:pPr>
      <w:r>
        <w:drawing>
          <wp:inline xmlns:a="http://schemas.openxmlformats.org/drawingml/2006/main" xmlns:pic="http://schemas.openxmlformats.org/drawingml/2006/picture">
            <wp:extent cx="5212080" cy="636359"/>
            <wp:docPr id="1" name="Picture 1"/>
            <wp:cNvGraphicFramePr>
              <a:graphicFrameLocks noChangeAspect="1"/>
            </wp:cNvGraphicFramePr>
            <a:graphic>
              <a:graphicData uri="http://schemas.openxmlformats.org/drawingml/2006/picture">
                <pic:pic>
                  <pic:nvPicPr>
                    <pic:cNvPr id="0" name="ma.png"/>
                    <pic:cNvPicPr/>
                  </pic:nvPicPr>
                  <pic:blipFill>
                    <a:blip r:embed="rId9"/>
                    <a:stretch>
                      <a:fillRect/>
                    </a:stretch>
                  </pic:blipFill>
                  <pic:spPr>
                    <a:xfrm>
                      <a:off x="0" y="0"/>
                      <a:ext cx="5212080" cy="636359"/>
                    </a:xfrm>
                    <a:prstGeom prst="rect"/>
                  </pic:spPr>
                </pic:pic>
              </a:graphicData>
            </a:graphic>
          </wp:inline>
        </w:drawing>
      </w:r>
    </w:p>
    <w:p>
      <w:pPr>
        <w:spacing w:after="160" w:line="300" w:lineRule="auto"/>
      </w:pPr>
      <w:r>
        <w:rPr>
          <w:rFonts w:ascii="Calibri" w:hAnsi="Calibri"/>
          <w:sz w:val="22"/>
        </w:rPr>
        <w:t>This method is simple, transparent, and suitable as a benchmark because it can be explained easily to team members without a forecasting background.</w:t>
      </w:r>
    </w:p>
    <w:p>
      <w:pPr>
        <w:pStyle w:val="Heading2"/>
      </w:pPr>
      <w:r>
        <w:rPr>
          <w:rFonts w:ascii="Calibri" w:hAnsi="Calibri"/>
          <w:color w:val="2E74B5"/>
        </w:rPr>
        <w:t>6.2 Ridge Regression Forecasting Model</w:t>
      </w:r>
    </w:p>
    <w:p>
      <w:pPr>
        <w:spacing w:after="160" w:line="300" w:lineRule="auto"/>
      </w:pPr>
      <w:r>
        <w:rPr>
          <w:rFonts w:ascii="Calibri" w:hAnsi="Calibri"/>
          <w:sz w:val="22"/>
        </w:rPr>
        <w:t>To use more information from the data, a Ridge regression model can include lagged demand, calendar features, region effects, and category effects:</w:t>
      </w:r>
    </w:p>
    <w:p>
      <w:pPr>
        <w:spacing w:before="60" w:after="160"/>
        <w:jc w:val="center"/>
      </w:pPr>
      <w:r>
        <w:drawing>
          <wp:inline xmlns:a="http://schemas.openxmlformats.org/drawingml/2006/main" xmlns:pic="http://schemas.openxmlformats.org/drawingml/2006/picture">
            <wp:extent cx="5760720" cy="770192"/>
            <wp:docPr id="2" name="Picture 2"/>
            <wp:cNvGraphicFramePr>
              <a:graphicFrameLocks noChangeAspect="1"/>
            </wp:cNvGraphicFramePr>
            <a:graphic>
              <a:graphicData uri="http://schemas.openxmlformats.org/drawingml/2006/picture">
                <pic:pic>
                  <pic:nvPicPr>
                    <pic:cNvPr id="0" name="ridge.png"/>
                    <pic:cNvPicPr/>
                  </pic:nvPicPr>
                  <pic:blipFill>
                    <a:blip r:embed="rId10"/>
                    <a:stretch>
                      <a:fillRect/>
                    </a:stretch>
                  </pic:blipFill>
                  <pic:spPr>
                    <a:xfrm>
                      <a:off x="0" y="0"/>
                      <a:ext cx="5760720" cy="770192"/>
                    </a:xfrm>
                    <a:prstGeom prst="rect"/>
                  </pic:spPr>
                </pic:pic>
              </a:graphicData>
            </a:graphic>
          </wp:inline>
        </w:drawing>
      </w:r>
    </w:p>
    <w:p>
      <w:pPr>
        <w:spacing w:after="160" w:line="300" w:lineRule="auto"/>
      </w:pPr>
      <w:r>
        <w:rPr>
          <w:rFonts w:ascii="Calibri" w:hAnsi="Calibri"/>
          <w:sz w:val="22"/>
        </w:rPr>
        <w:t>Predictions are truncated at zero because demand cannot be negative:</w:t>
      </w:r>
    </w:p>
    <w:p>
      <w:pPr>
        <w:spacing w:before="60" w:after="160"/>
        <w:jc w:val="center"/>
      </w:pPr>
      <w:r>
        <w:drawing>
          <wp:inline xmlns:a="http://schemas.openxmlformats.org/drawingml/2006/main" xmlns:pic="http://schemas.openxmlformats.org/drawingml/2006/picture">
            <wp:extent cx="4389120" cy="540068"/>
            <wp:docPr id="3" name="Picture 3"/>
            <wp:cNvGraphicFramePr>
              <a:graphicFrameLocks noChangeAspect="1"/>
            </wp:cNvGraphicFramePr>
            <a:graphic>
              <a:graphicData uri="http://schemas.openxmlformats.org/drawingml/2006/picture">
                <pic:pic>
                  <pic:nvPicPr>
                    <pic:cNvPr id="0" name="nonneg.png"/>
                    <pic:cNvPicPr/>
                  </pic:nvPicPr>
                  <pic:blipFill>
                    <a:blip r:embed="rId11"/>
                    <a:stretch>
                      <a:fillRect/>
                    </a:stretch>
                  </pic:blipFill>
                  <pic:spPr>
                    <a:xfrm>
                      <a:off x="0" y="0"/>
                      <a:ext cx="4389120" cy="540068"/>
                    </a:xfrm>
                    <a:prstGeom prst="rect"/>
                  </pic:spPr>
                </pic:pic>
              </a:graphicData>
            </a:graphic>
          </wp:inline>
        </w:drawing>
      </w:r>
    </w:p>
    <w:p>
      <w:pPr>
        <w:pStyle w:val="Heading1"/>
      </w:pPr>
      <w:r>
        <w:rPr>
          <w:rFonts w:ascii="Calibri" w:hAnsi="Calibri"/>
          <w:color w:val="2E74B5"/>
        </w:rPr>
        <w:t>7. Converting Forecasts into OR Inputs</w:t>
      </w:r>
    </w:p>
    <w:p>
      <w:pPr>
        <w:spacing w:after="160" w:line="300" w:lineRule="auto"/>
      </w:pPr>
      <w:r>
        <w:rPr>
          <w:rFonts w:ascii="Calibri" w:hAnsi="Calibri"/>
          <w:sz w:val="22"/>
        </w:rPr>
        <w:t>Forecasts should not be treated as perfect demand. Actual demand may be higher than expected, so a safety-stock adjustment is used before optimization. Let sigma_{c,r} denote historical demand volatility for a category-region pair, and z denote the safety-stock multiplier.</w:t>
      </w:r>
    </w:p>
    <w:p>
      <w:pPr>
        <w:spacing w:before="60" w:after="160"/>
        <w:jc w:val="center"/>
      </w:pPr>
      <w:r>
        <w:drawing>
          <wp:inline xmlns:a="http://schemas.openxmlformats.org/drawingml/2006/main" xmlns:pic="http://schemas.openxmlformats.org/drawingml/2006/picture">
            <wp:extent cx="4389120" cy="672785"/>
            <wp:docPr id="4" name="Picture 4"/>
            <wp:cNvGraphicFramePr>
              <a:graphicFrameLocks noChangeAspect="1"/>
            </wp:cNvGraphicFramePr>
            <a:graphic>
              <a:graphicData uri="http://schemas.openxmlformats.org/drawingml/2006/picture">
                <pic:pic>
                  <pic:nvPicPr>
                    <pic:cNvPr id="0" name="safety.png"/>
                    <pic:cNvPicPr/>
                  </pic:nvPicPr>
                  <pic:blipFill>
                    <a:blip r:embed="rId12"/>
                    <a:stretch>
                      <a:fillRect/>
                    </a:stretch>
                  </pic:blipFill>
                  <pic:spPr>
                    <a:xfrm>
                      <a:off x="0" y="0"/>
                      <a:ext cx="4389120" cy="672785"/>
                    </a:xfrm>
                    <a:prstGeom prst="rect"/>
                  </pic:spPr>
                </pic:pic>
              </a:graphicData>
            </a:graphic>
          </wp:inline>
        </w:drawing>
      </w:r>
    </w:p>
    <w:p>
      <w:pPr>
        <w:spacing w:after="160" w:line="300" w:lineRule="auto"/>
      </w:pPr>
      <w:r>
        <w:rPr>
          <w:rFonts w:ascii="Calibri" w:hAnsi="Calibri"/>
          <w:sz w:val="22"/>
        </w:rPr>
        <w:t>A larger z produces a more conservative inventory plan with higher inventory cost but lower stockout risk. A smaller z reduces inventory cost but may lead to more unmet demand. This creates a clear sensitivity analysis for the project.</w:t>
      </w:r>
    </w:p>
    <w:p>
      <w:pPr>
        <w:pStyle w:val="Heading1"/>
      </w:pPr>
      <w:r>
        <w:rPr>
          <w:rFonts w:ascii="Calibri" w:hAnsi="Calibri"/>
          <w:color w:val="2E74B5"/>
        </w:rPr>
        <w:t>8. Mathematical Optimization Model</w:t>
      </w:r>
    </w:p>
    <w:p>
      <w:pPr>
        <w:spacing w:after="160" w:line="300" w:lineRule="auto"/>
      </w:pPr>
      <w:r>
        <w:rPr>
          <w:rFonts w:ascii="Calibri" w:hAnsi="Calibri"/>
          <w:sz w:val="22"/>
        </w:rPr>
        <w:t>The proposed optimization has two stages. Stage 1 decides inventory preparation before demand is realized. Stage 2 allocates actual demand to fulfillment sources after demand is observed.</w:t>
      </w:r>
    </w:p>
    <w:p>
      <w:pPr>
        <w:pStyle w:val="Heading2"/>
      </w:pPr>
      <w:r>
        <w:rPr>
          <w:rFonts w:ascii="Calibri" w:hAnsi="Calibri"/>
          <w:color w:val="2E74B5"/>
        </w:rPr>
        <w:t>8.1 Stage 1: Inventory Planning Model</w:t>
      </w:r>
    </w:p>
    <w:p>
      <w:pPr>
        <w:spacing w:after="160" w:line="300" w:lineRule="auto"/>
      </w:pPr>
      <w:r>
        <w:rPr>
          <w:rFonts w:ascii="Calibri" w:hAnsi="Calibri"/>
          <w:sz w:val="22"/>
        </w:rPr>
        <w:t>Decision variables: q_{i,c,t} is the replenishment quantity for category c at warehouse i before week t; I_{i,c,t} is the available inventory of category c at warehouse i.</w:t>
      </w:r>
    </w:p>
    <w:p>
      <w:pPr>
        <w:spacing w:after="160" w:line="300" w:lineRule="auto"/>
      </w:pPr>
      <w:r>
        <w:rPr>
          <w:rFonts w:ascii="Calibri" w:hAnsi="Calibri"/>
          <w:sz w:val="22"/>
        </w:rPr>
        <w:t>The objective minimizes procurement and inventory holding costs:</w:t>
      </w:r>
    </w:p>
    <w:p>
      <w:pPr>
        <w:spacing w:before="60" w:after="160"/>
        <w:jc w:val="center"/>
      </w:pPr>
      <w:r>
        <w:drawing>
          <wp:inline xmlns:a="http://schemas.openxmlformats.org/drawingml/2006/main" xmlns:pic="http://schemas.openxmlformats.org/drawingml/2006/picture">
            <wp:extent cx="5577840" cy="791450"/>
            <wp:docPr id="5" name="Picture 5"/>
            <wp:cNvGraphicFramePr>
              <a:graphicFrameLocks noChangeAspect="1"/>
            </wp:cNvGraphicFramePr>
            <a:graphic>
              <a:graphicData uri="http://schemas.openxmlformats.org/drawingml/2006/picture">
                <pic:pic>
                  <pic:nvPicPr>
                    <pic:cNvPr id="0" name="stage1_obj.png"/>
                    <pic:cNvPicPr/>
                  </pic:nvPicPr>
                  <pic:blipFill>
                    <a:blip r:embed="rId13"/>
                    <a:stretch>
                      <a:fillRect/>
                    </a:stretch>
                  </pic:blipFill>
                  <pic:spPr>
                    <a:xfrm>
                      <a:off x="0" y="0"/>
                      <a:ext cx="5577840" cy="791450"/>
                    </a:xfrm>
                    <a:prstGeom prst="rect"/>
                  </pic:spPr>
                </pic:pic>
              </a:graphicData>
            </a:graphic>
          </wp:inline>
        </w:drawing>
      </w:r>
    </w:p>
    <w:p>
      <w:pPr>
        <w:spacing w:after="160" w:line="300" w:lineRule="auto"/>
      </w:pPr>
      <w:r>
        <w:rPr>
          <w:rFonts w:ascii="Calibri" w:hAnsi="Calibri"/>
          <w:sz w:val="22"/>
        </w:rPr>
        <w:t>Warehouse capacity constraint:</w:t>
      </w:r>
    </w:p>
    <w:p>
      <w:pPr>
        <w:spacing w:before="60" w:after="160"/>
        <w:jc w:val="center"/>
      </w:pPr>
      <w:r>
        <w:drawing>
          <wp:inline xmlns:a="http://schemas.openxmlformats.org/drawingml/2006/main" xmlns:pic="http://schemas.openxmlformats.org/drawingml/2006/picture">
            <wp:extent cx="5120640" cy="775482"/>
            <wp:docPr id="6" name="Picture 6"/>
            <wp:cNvGraphicFramePr>
              <a:graphicFrameLocks noChangeAspect="1"/>
            </wp:cNvGraphicFramePr>
            <a:graphic>
              <a:graphicData uri="http://schemas.openxmlformats.org/drawingml/2006/picture">
                <pic:pic>
                  <pic:nvPicPr>
                    <pic:cNvPr id="0" name="capacity.png"/>
                    <pic:cNvPicPr/>
                  </pic:nvPicPr>
                  <pic:blipFill>
                    <a:blip r:embed="rId14"/>
                    <a:stretch>
                      <a:fillRect/>
                    </a:stretch>
                  </pic:blipFill>
                  <pic:spPr>
                    <a:xfrm>
                      <a:off x="0" y="0"/>
                      <a:ext cx="5120640" cy="775482"/>
                    </a:xfrm>
                    <a:prstGeom prst="rect"/>
                  </pic:spPr>
                </pic:pic>
              </a:graphicData>
            </a:graphic>
          </wp:inline>
        </w:drawing>
      </w:r>
    </w:p>
    <w:p>
      <w:pPr>
        <w:spacing w:after="160" w:line="300" w:lineRule="auto"/>
      </w:pPr>
      <w:r>
        <w:rPr>
          <w:rFonts w:ascii="Calibri" w:hAnsi="Calibri"/>
          <w:sz w:val="22"/>
        </w:rPr>
        <w:t>Forecast-demand coverage constraint:</w:t>
      </w:r>
    </w:p>
    <w:p>
      <w:pPr>
        <w:spacing w:before="60" w:after="160"/>
        <w:jc w:val="center"/>
      </w:pPr>
      <w:r>
        <w:drawing>
          <wp:inline xmlns:a="http://schemas.openxmlformats.org/drawingml/2006/main" xmlns:pic="http://schemas.openxmlformats.org/drawingml/2006/picture">
            <wp:extent cx="5394960" cy="729362"/>
            <wp:docPr id="7" name="Picture 7"/>
            <wp:cNvGraphicFramePr>
              <a:graphicFrameLocks noChangeAspect="1"/>
            </wp:cNvGraphicFramePr>
            <a:graphic>
              <a:graphicData uri="http://schemas.openxmlformats.org/drawingml/2006/picture">
                <pic:pic>
                  <pic:nvPicPr>
                    <pic:cNvPr id="0" name="cover.png"/>
                    <pic:cNvPicPr/>
                  </pic:nvPicPr>
                  <pic:blipFill>
                    <a:blip r:embed="rId15"/>
                    <a:stretch>
                      <a:fillRect/>
                    </a:stretch>
                  </pic:blipFill>
                  <pic:spPr>
                    <a:xfrm>
                      <a:off x="0" y="0"/>
                      <a:ext cx="5394960" cy="729362"/>
                    </a:xfrm>
                    <a:prstGeom prst="rect"/>
                  </pic:spPr>
                </pic:pic>
              </a:graphicData>
            </a:graphic>
          </wp:inline>
        </w:drawing>
      </w:r>
    </w:p>
    <w:p>
      <w:pPr>
        <w:pStyle w:val="Heading2"/>
      </w:pPr>
      <w:r>
        <w:rPr>
          <w:rFonts w:ascii="Calibri" w:hAnsi="Calibri"/>
          <w:color w:val="2E74B5"/>
        </w:rPr>
        <w:t>8.2 Stage 2: Fulfillment Allocation Model</w:t>
      </w:r>
    </w:p>
    <w:p>
      <w:pPr>
        <w:spacing w:after="160" w:line="300" w:lineRule="auto"/>
      </w:pPr>
      <w:r>
        <w:rPr>
          <w:rFonts w:ascii="Calibri" w:hAnsi="Calibri"/>
          <w:sz w:val="22"/>
        </w:rPr>
        <w:t>After actual demand occurs, x_{i,c,r,t} represents the quantity of category c served from warehouse i to region r, and u_{c,r,t} represents unmet or delayed demand.</w:t>
      </w:r>
    </w:p>
    <w:p>
      <w:pPr>
        <w:spacing w:after="160" w:line="300" w:lineRule="auto"/>
      </w:pPr>
      <w:r>
        <w:rPr>
          <w:rFonts w:ascii="Calibri" w:hAnsi="Calibri"/>
          <w:sz w:val="22"/>
        </w:rPr>
        <w:t>The objective minimizes fulfillment cost and unmet-demand penalty:</w:t>
      </w:r>
    </w:p>
    <w:p>
      <w:pPr>
        <w:spacing w:before="60" w:after="160"/>
        <w:jc w:val="center"/>
      </w:pPr>
      <w:r>
        <w:drawing>
          <wp:inline xmlns:a="http://schemas.openxmlformats.org/drawingml/2006/main" xmlns:pic="http://schemas.openxmlformats.org/drawingml/2006/picture">
            <wp:extent cx="5669280" cy="692180"/>
            <wp:docPr id="8" name="Picture 8"/>
            <wp:cNvGraphicFramePr>
              <a:graphicFrameLocks noChangeAspect="1"/>
            </wp:cNvGraphicFramePr>
            <a:graphic>
              <a:graphicData uri="http://schemas.openxmlformats.org/drawingml/2006/picture">
                <pic:pic>
                  <pic:nvPicPr>
                    <pic:cNvPr id="0" name="stage2_obj.png"/>
                    <pic:cNvPicPr/>
                  </pic:nvPicPr>
                  <pic:blipFill>
                    <a:blip r:embed="rId16"/>
                    <a:stretch>
                      <a:fillRect/>
                    </a:stretch>
                  </pic:blipFill>
                  <pic:spPr>
                    <a:xfrm>
                      <a:off x="0" y="0"/>
                      <a:ext cx="5669280" cy="692180"/>
                    </a:xfrm>
                    <a:prstGeom prst="rect"/>
                  </pic:spPr>
                </pic:pic>
              </a:graphicData>
            </a:graphic>
          </wp:inline>
        </w:drawing>
      </w:r>
    </w:p>
    <w:p>
      <w:pPr>
        <w:spacing w:after="160" w:line="300" w:lineRule="auto"/>
      </w:pPr>
      <w:r>
        <w:rPr>
          <w:rFonts w:ascii="Calibri" w:hAnsi="Calibri"/>
          <w:sz w:val="22"/>
        </w:rPr>
        <w:t>The unit fulfillment cost can include shipping cost, handling cost, and delivery lateness penalty:</w:t>
      </w:r>
    </w:p>
    <w:p>
      <w:pPr>
        <w:spacing w:before="60" w:after="160"/>
        <w:jc w:val="center"/>
      </w:pPr>
      <w:r>
        <w:drawing>
          <wp:inline xmlns:a="http://schemas.openxmlformats.org/drawingml/2006/main" xmlns:pic="http://schemas.openxmlformats.org/drawingml/2006/picture">
            <wp:extent cx="5486400" cy="536713"/>
            <wp:docPr id="9" name="Picture 9"/>
            <wp:cNvGraphicFramePr>
              <a:graphicFrameLocks noChangeAspect="1"/>
            </wp:cNvGraphicFramePr>
            <a:graphic>
              <a:graphicData uri="http://schemas.openxmlformats.org/drawingml/2006/picture">
                <pic:pic>
                  <pic:nvPicPr>
                    <pic:cNvPr id="0" name="cost.png"/>
                    <pic:cNvPicPr/>
                  </pic:nvPicPr>
                  <pic:blipFill>
                    <a:blip r:embed="rId17"/>
                    <a:stretch>
                      <a:fillRect/>
                    </a:stretch>
                  </pic:blipFill>
                  <pic:spPr>
                    <a:xfrm>
                      <a:off x="0" y="0"/>
                      <a:ext cx="5486400" cy="536713"/>
                    </a:xfrm>
                    <a:prstGeom prst="rect"/>
                  </pic:spPr>
                </pic:pic>
              </a:graphicData>
            </a:graphic>
          </wp:inline>
        </w:drawing>
      </w:r>
    </w:p>
    <w:p>
      <w:pPr>
        <w:spacing w:after="160" w:line="300" w:lineRule="auto"/>
      </w:pPr>
      <w:r>
        <w:rPr>
          <w:rFonts w:ascii="Calibri" w:hAnsi="Calibri"/>
          <w:sz w:val="22"/>
        </w:rPr>
        <w:t>Demand satisfaction constraint:</w:t>
      </w:r>
    </w:p>
    <w:p>
      <w:pPr>
        <w:spacing w:before="60" w:after="160"/>
        <w:jc w:val="center"/>
      </w:pPr>
      <w:r>
        <w:drawing>
          <wp:inline xmlns:a="http://schemas.openxmlformats.org/drawingml/2006/main" xmlns:pic="http://schemas.openxmlformats.org/drawingml/2006/picture">
            <wp:extent cx="5577840" cy="624235"/>
            <wp:docPr id="10" name="Picture 10"/>
            <wp:cNvGraphicFramePr>
              <a:graphicFrameLocks noChangeAspect="1"/>
            </wp:cNvGraphicFramePr>
            <a:graphic>
              <a:graphicData uri="http://schemas.openxmlformats.org/drawingml/2006/picture">
                <pic:pic>
                  <pic:nvPicPr>
                    <pic:cNvPr id="0" name="demand.png"/>
                    <pic:cNvPicPr/>
                  </pic:nvPicPr>
                  <pic:blipFill>
                    <a:blip r:embed="rId18"/>
                    <a:stretch>
                      <a:fillRect/>
                    </a:stretch>
                  </pic:blipFill>
                  <pic:spPr>
                    <a:xfrm>
                      <a:off x="0" y="0"/>
                      <a:ext cx="5577840" cy="624235"/>
                    </a:xfrm>
                    <a:prstGeom prst="rect"/>
                  </pic:spPr>
                </pic:pic>
              </a:graphicData>
            </a:graphic>
          </wp:inline>
        </w:drawing>
      </w:r>
    </w:p>
    <w:p>
      <w:pPr>
        <w:spacing w:after="160" w:line="300" w:lineRule="auto"/>
      </w:pPr>
      <w:r>
        <w:rPr>
          <w:rFonts w:ascii="Calibri" w:hAnsi="Calibri"/>
          <w:sz w:val="22"/>
        </w:rPr>
        <w:t>Inventory availability constraint:</w:t>
      </w:r>
    </w:p>
    <w:p>
      <w:pPr>
        <w:spacing w:before="60" w:after="160"/>
        <w:jc w:val="center"/>
      </w:pPr>
      <w:r>
        <w:drawing>
          <wp:inline xmlns:a="http://schemas.openxmlformats.org/drawingml/2006/main" xmlns:pic="http://schemas.openxmlformats.org/drawingml/2006/picture">
            <wp:extent cx="5120640" cy="699294"/>
            <wp:docPr id="11" name="Picture 11"/>
            <wp:cNvGraphicFramePr>
              <a:graphicFrameLocks noChangeAspect="1"/>
            </wp:cNvGraphicFramePr>
            <a:graphic>
              <a:graphicData uri="http://schemas.openxmlformats.org/drawingml/2006/picture">
                <pic:pic>
                  <pic:nvPicPr>
                    <pic:cNvPr id="0" name="inventory.png"/>
                    <pic:cNvPicPr/>
                  </pic:nvPicPr>
                  <pic:blipFill>
                    <a:blip r:embed="rId19"/>
                    <a:stretch>
                      <a:fillRect/>
                    </a:stretch>
                  </pic:blipFill>
                  <pic:spPr>
                    <a:xfrm>
                      <a:off x="0" y="0"/>
                      <a:ext cx="5120640" cy="699294"/>
                    </a:xfrm>
                    <a:prstGeom prst="rect"/>
                  </pic:spPr>
                </pic:pic>
              </a:graphicData>
            </a:graphic>
          </wp:inline>
        </w:drawing>
      </w:r>
    </w:p>
    <w:p>
      <w:pPr>
        <w:spacing w:after="160" w:line="300" w:lineRule="auto"/>
      </w:pPr>
      <w:r>
        <w:rPr>
          <w:rFonts w:ascii="Calibri" w:hAnsi="Calibri"/>
          <w:sz w:val="22"/>
        </w:rPr>
        <w:t>Warehouse handling capacity constraint:</w:t>
      </w:r>
    </w:p>
    <w:p>
      <w:pPr>
        <w:spacing w:before="60" w:after="160"/>
        <w:jc w:val="center"/>
      </w:pPr>
      <w:r>
        <w:drawing>
          <wp:inline xmlns:a="http://schemas.openxmlformats.org/drawingml/2006/main" xmlns:pic="http://schemas.openxmlformats.org/drawingml/2006/picture">
            <wp:extent cx="5120640" cy="797688"/>
            <wp:docPr id="12" name="Picture 12"/>
            <wp:cNvGraphicFramePr>
              <a:graphicFrameLocks noChangeAspect="1"/>
            </wp:cNvGraphicFramePr>
            <a:graphic>
              <a:graphicData uri="http://schemas.openxmlformats.org/drawingml/2006/picture">
                <pic:pic>
                  <pic:nvPicPr>
                    <pic:cNvPr id="0" name="handling.png"/>
                    <pic:cNvPicPr/>
                  </pic:nvPicPr>
                  <pic:blipFill>
                    <a:blip r:embed="rId20"/>
                    <a:stretch>
                      <a:fillRect/>
                    </a:stretch>
                  </pic:blipFill>
                  <pic:spPr>
                    <a:xfrm>
                      <a:off x="0" y="0"/>
                      <a:ext cx="5120640" cy="797688"/>
                    </a:xfrm>
                    <a:prstGeom prst="rect"/>
                  </pic:spPr>
                </pic:pic>
              </a:graphicData>
            </a:graphic>
          </wp:inline>
        </w:drawing>
      </w:r>
    </w:p>
    <w:p>
      <w:pPr>
        <w:spacing w:after="160" w:line="300" w:lineRule="auto"/>
      </w:pPr>
      <w:r>
        <w:rPr>
          <w:rFonts w:ascii="Calibri" w:hAnsi="Calibri"/>
          <w:sz w:val="22"/>
        </w:rPr>
        <w:t>All decision variables are nonnegative.</w:t>
      </w:r>
    </w:p>
    <w:p>
      <w:pPr>
        <w:pStyle w:val="Heading1"/>
      </w:pPr>
      <w:r>
        <w:rPr>
          <w:rFonts w:ascii="Calibri" w:hAnsi="Calibri"/>
          <w:color w:val="2E74B5"/>
        </w:rPr>
        <w:t>9. Benchmark and Evaluation Design</w:t>
      </w:r>
    </w:p>
    <w:p>
      <w:pPr>
        <w:spacing w:after="160" w:line="300" w:lineRule="auto"/>
      </w:pPr>
      <w:r>
        <w:rPr>
          <w:rFonts w:ascii="Calibri" w:hAnsi="Calibri"/>
          <w:sz w:val="22"/>
        </w:rPr>
        <w:t>To show that the project creates value beyond simply solving a mathematical model, three policies will be compared.</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F4F6F9"/>
          </w:tcPr>
          <w:p>
            <w:r/>
            <w:r>
              <w:rPr>
                <w:rFonts w:ascii="Calibri" w:hAnsi="Calibri"/>
                <w:b/>
                <w:sz w:val="18"/>
              </w:rPr>
              <w:t>Policy</w:t>
            </w:r>
          </w:p>
        </w:tc>
        <w:tc>
          <w:tcPr>
            <w:tcW w:type="dxa" w:w="6336"/>
            <w:vAlign w:val="center"/>
            <w:shd w:fill="F4F6F9"/>
          </w:tcPr>
          <w:p>
            <w:r/>
            <w:r>
              <w:rPr>
                <w:rFonts w:ascii="Calibri" w:hAnsi="Calibri"/>
                <w:b/>
                <w:sz w:val="18"/>
              </w:rPr>
              <w:t>Description</w:t>
            </w:r>
          </w:p>
        </w:tc>
      </w:tr>
      <w:tr>
        <w:tc>
          <w:tcPr>
            <w:tcW w:type="dxa" w:w="2880"/>
            <w:vAlign w:val="center"/>
          </w:tcPr>
          <w:p>
            <w:r/>
            <w:r>
              <w:rPr>
                <w:rFonts w:ascii="Calibri" w:hAnsi="Calibri"/>
                <w:b w:val="0"/>
                <w:sz w:val="18"/>
              </w:rPr>
              <w:t>Last-week policy</w:t>
            </w:r>
          </w:p>
        </w:tc>
        <w:tc>
          <w:tcPr>
            <w:tcW w:type="dxa" w:w="6336"/>
            <w:vAlign w:val="center"/>
          </w:tcPr>
          <w:p>
            <w:r/>
            <w:r>
              <w:rPr>
                <w:rFonts w:ascii="Calibri" w:hAnsi="Calibri"/>
                <w:b w:val="0"/>
                <w:sz w:val="18"/>
              </w:rPr>
              <w:t>Uses last week's demand as next week's forecast.</w:t>
            </w:r>
          </w:p>
        </w:tc>
      </w:tr>
      <w:tr>
        <w:tc>
          <w:tcPr>
            <w:tcW w:type="dxa" w:w="2880"/>
            <w:vAlign w:val="center"/>
          </w:tcPr>
          <w:p>
            <w:r/>
            <w:r>
              <w:rPr>
                <w:rFonts w:ascii="Calibri" w:hAnsi="Calibri"/>
                <w:b w:val="0"/>
                <w:sz w:val="18"/>
              </w:rPr>
              <w:t>Moving-average policy</w:t>
            </w:r>
          </w:p>
        </w:tc>
        <w:tc>
          <w:tcPr>
            <w:tcW w:type="dxa" w:w="6336"/>
            <w:vAlign w:val="center"/>
          </w:tcPr>
          <w:p>
            <w:r/>
            <w:r>
              <w:rPr>
                <w:rFonts w:ascii="Calibri" w:hAnsi="Calibri"/>
                <w:b w:val="0"/>
                <w:sz w:val="18"/>
              </w:rPr>
              <w:t>Uses recent average demand as the forecast.</w:t>
            </w:r>
          </w:p>
        </w:tc>
      </w:tr>
      <w:tr>
        <w:tc>
          <w:tcPr>
            <w:tcW w:type="dxa" w:w="2880"/>
            <w:vAlign w:val="center"/>
          </w:tcPr>
          <w:p>
            <w:r/>
            <w:r>
              <w:rPr>
                <w:rFonts w:ascii="Calibri" w:hAnsi="Calibri"/>
                <w:b w:val="0"/>
                <w:sz w:val="18"/>
              </w:rPr>
              <w:t>Forecast + OR policy</w:t>
            </w:r>
          </w:p>
        </w:tc>
        <w:tc>
          <w:tcPr>
            <w:tcW w:type="dxa" w:w="6336"/>
            <w:vAlign w:val="center"/>
          </w:tcPr>
          <w:p>
            <w:r/>
            <w:r>
              <w:rPr>
                <w:rFonts w:ascii="Calibri" w:hAnsi="Calibri"/>
                <w:b w:val="0"/>
                <w:sz w:val="18"/>
              </w:rPr>
              <w:t>Uses Ridge forecast with safety-stock adjustment, then solves the OR model.</w:t>
            </w:r>
          </w:p>
        </w:tc>
      </w:tr>
    </w:tbl>
    <w:p/>
    <w:p>
      <w:pPr>
        <w:spacing w:after="160" w:line="300" w:lineRule="auto"/>
      </w:pPr>
      <w:r>
        <w:rPr>
          <w:rFonts w:ascii="Calibri" w:hAnsi="Calibri"/>
          <w:sz w:val="22"/>
        </w:rPr>
        <w:t>The main service metric is fill rate:</w:t>
      </w:r>
    </w:p>
    <w:p>
      <w:pPr>
        <w:spacing w:before="60" w:after="160"/>
        <w:jc w:val="center"/>
      </w:pPr>
      <w:r>
        <w:drawing>
          <wp:inline xmlns:a="http://schemas.openxmlformats.org/drawingml/2006/main" xmlns:pic="http://schemas.openxmlformats.org/drawingml/2006/picture">
            <wp:extent cx="4206240" cy="505097"/>
            <wp:docPr id="13" name="Picture 13"/>
            <wp:cNvGraphicFramePr>
              <a:graphicFrameLocks noChangeAspect="1"/>
            </wp:cNvGraphicFramePr>
            <a:graphic>
              <a:graphicData uri="http://schemas.openxmlformats.org/drawingml/2006/picture">
                <pic:pic>
                  <pic:nvPicPr>
                    <pic:cNvPr id="0" name="fillrate.png"/>
                    <pic:cNvPicPr/>
                  </pic:nvPicPr>
                  <pic:blipFill>
                    <a:blip r:embed="rId21"/>
                    <a:stretch>
                      <a:fillRect/>
                    </a:stretch>
                  </pic:blipFill>
                  <pic:spPr>
                    <a:xfrm>
                      <a:off x="0" y="0"/>
                      <a:ext cx="4206240" cy="505097"/>
                    </a:xfrm>
                    <a:prstGeom prst="rect"/>
                  </pic:spPr>
                </pic:pic>
              </a:graphicData>
            </a:graphic>
          </wp:inline>
        </w:drawing>
      </w:r>
    </w:p>
    <w:p>
      <w:pPr>
        <w:spacing w:after="160" w:line="300" w:lineRule="auto"/>
      </w:pPr>
      <w:r>
        <w:rPr>
          <w:rFonts w:ascii="Calibri" w:hAnsi="Calibri"/>
          <w:sz w:val="22"/>
        </w:rPr>
        <w:t>Forecast accuracy can be measured by WAPE:</w:t>
      </w:r>
    </w:p>
    <w:p>
      <w:pPr>
        <w:spacing w:before="60" w:after="160"/>
        <w:jc w:val="center"/>
      </w:pPr>
      <w:r>
        <w:drawing>
          <wp:inline xmlns:a="http://schemas.openxmlformats.org/drawingml/2006/main" xmlns:pic="http://schemas.openxmlformats.org/drawingml/2006/picture">
            <wp:extent cx="3840480" cy="612532"/>
            <wp:docPr id="14" name="Picture 14"/>
            <wp:cNvGraphicFramePr>
              <a:graphicFrameLocks noChangeAspect="1"/>
            </wp:cNvGraphicFramePr>
            <a:graphic>
              <a:graphicData uri="http://schemas.openxmlformats.org/drawingml/2006/picture">
                <pic:pic>
                  <pic:nvPicPr>
                    <pic:cNvPr id="0" name="wape.png"/>
                    <pic:cNvPicPr/>
                  </pic:nvPicPr>
                  <pic:blipFill>
                    <a:blip r:embed="rId22"/>
                    <a:stretch>
                      <a:fillRect/>
                    </a:stretch>
                  </pic:blipFill>
                  <pic:spPr>
                    <a:xfrm>
                      <a:off x="0" y="0"/>
                      <a:ext cx="3840480" cy="612532"/>
                    </a:xfrm>
                    <a:prstGeom prst="rect"/>
                  </pic:spPr>
                </pic:pic>
              </a:graphicData>
            </a:graphic>
          </wp:inline>
        </w:drawing>
      </w:r>
    </w:p>
    <w:p>
      <w:pPr>
        <w:spacing w:after="160" w:line="300" w:lineRule="auto"/>
      </w:pPr>
      <w:r>
        <w:rPr>
          <w:rFonts w:ascii="Calibri" w:hAnsi="Calibri"/>
          <w:sz w:val="22"/>
        </w:rPr>
        <w:t>The final comparison will report total cost, fulfillment cost, holding cost, shortage penalty, fill rate, and shortage rate.</w:t>
      </w:r>
    </w:p>
    <w:p>
      <w:pPr>
        <w:pStyle w:val="Heading1"/>
      </w:pPr>
      <w:r>
        <w:rPr>
          <w:rFonts w:ascii="Calibri" w:hAnsi="Calibri"/>
          <w:color w:val="2E74B5"/>
        </w:rPr>
        <w:t>10. Preliminary Data Model and Expected Outputs</w:t>
      </w:r>
    </w:p>
    <w:tbl>
      <w:tblPr>
        <w:tblStyle w:val="TableGrid"/>
        <w:tblW w:type="auto" w:w="0"/>
        <w:jc w:val="center"/>
        <w:tblLook w:firstColumn="1" w:firstRow="1" w:lastColumn="0" w:lastRow="0" w:noHBand="0" w:noVBand="1" w:val="04A0"/>
      </w:tblPr>
      <w:tblGrid>
        <w:gridCol w:w="4680"/>
        <w:gridCol w:w="4680"/>
      </w:tblGrid>
      <w:tr>
        <w:tc>
          <w:tcPr>
            <w:tcW w:type="dxa" w:w="3312"/>
            <w:vAlign w:val="center"/>
            <w:shd w:fill="F4F6F9"/>
          </w:tcPr>
          <w:p>
            <w:r/>
            <w:r>
              <w:rPr>
                <w:rFonts w:ascii="Calibri" w:hAnsi="Calibri"/>
                <w:b/>
                <w:sz w:val="18"/>
              </w:rPr>
              <w:t>Output table</w:t>
            </w:r>
          </w:p>
        </w:tc>
        <w:tc>
          <w:tcPr>
            <w:tcW w:type="dxa" w:w="5904"/>
            <w:vAlign w:val="center"/>
            <w:shd w:fill="F4F6F9"/>
          </w:tcPr>
          <w:p>
            <w:r/>
            <w:r>
              <w:rPr>
                <w:rFonts w:ascii="Calibri" w:hAnsi="Calibri"/>
                <w:b/>
                <w:sz w:val="18"/>
              </w:rPr>
              <w:t>Purpose</w:t>
            </w:r>
          </w:p>
        </w:tc>
      </w:tr>
      <w:tr>
        <w:tc>
          <w:tcPr>
            <w:tcW w:type="dxa" w:w="3312"/>
            <w:vAlign w:val="center"/>
          </w:tcPr>
          <w:p>
            <w:r/>
            <w:r>
              <w:rPr>
                <w:rFonts w:ascii="Calibri" w:hAnsi="Calibri"/>
                <w:b w:val="0"/>
                <w:sz w:val="18"/>
              </w:rPr>
              <w:t>Weekly demand table</w:t>
            </w:r>
          </w:p>
        </w:tc>
        <w:tc>
          <w:tcPr>
            <w:tcW w:type="dxa" w:w="5904"/>
            <w:vAlign w:val="center"/>
          </w:tcPr>
          <w:p>
            <w:r/>
            <w:r>
              <w:rPr>
                <w:rFonts w:ascii="Calibri" w:hAnsi="Calibri"/>
                <w:b w:val="0"/>
                <w:sz w:val="18"/>
              </w:rPr>
              <w:t>Category-region-week demand for forecasting.</w:t>
            </w:r>
          </w:p>
        </w:tc>
      </w:tr>
      <w:tr>
        <w:tc>
          <w:tcPr>
            <w:tcW w:type="dxa" w:w="3312"/>
            <w:vAlign w:val="center"/>
          </w:tcPr>
          <w:p>
            <w:r/>
            <w:r>
              <w:rPr>
                <w:rFonts w:ascii="Calibri" w:hAnsi="Calibri"/>
                <w:b w:val="0"/>
                <w:sz w:val="18"/>
              </w:rPr>
              <w:t>Forecast table</w:t>
            </w:r>
          </w:p>
        </w:tc>
        <w:tc>
          <w:tcPr>
            <w:tcW w:type="dxa" w:w="5904"/>
            <w:vAlign w:val="center"/>
          </w:tcPr>
          <w:p>
            <w:r/>
            <w:r>
              <w:rPr>
                <w:rFonts w:ascii="Calibri" w:hAnsi="Calibri"/>
                <w:b w:val="0"/>
                <w:sz w:val="18"/>
              </w:rPr>
              <w:t>Predicted future demand used as OR input.</w:t>
            </w:r>
          </w:p>
        </w:tc>
      </w:tr>
      <w:tr>
        <w:tc>
          <w:tcPr>
            <w:tcW w:type="dxa" w:w="3312"/>
            <w:vAlign w:val="center"/>
          </w:tcPr>
          <w:p>
            <w:r/>
            <w:r>
              <w:rPr>
                <w:rFonts w:ascii="Calibri" w:hAnsi="Calibri"/>
                <w:b w:val="0"/>
                <w:sz w:val="18"/>
              </w:rPr>
              <w:t>Warehouse scenario table</w:t>
            </w:r>
          </w:p>
        </w:tc>
        <w:tc>
          <w:tcPr>
            <w:tcW w:type="dxa" w:w="5904"/>
            <w:vAlign w:val="center"/>
          </w:tcPr>
          <w:p>
            <w:r/>
            <w:r>
              <w:rPr>
                <w:rFonts w:ascii="Calibri" w:hAnsi="Calibri"/>
                <w:b w:val="0"/>
                <w:sz w:val="18"/>
              </w:rPr>
              <w:t>Warehouse location, capacity, and handling assumptions.</w:t>
            </w:r>
          </w:p>
        </w:tc>
      </w:tr>
      <w:tr>
        <w:tc>
          <w:tcPr>
            <w:tcW w:type="dxa" w:w="3312"/>
            <w:vAlign w:val="center"/>
          </w:tcPr>
          <w:p>
            <w:r/>
            <w:r>
              <w:rPr>
                <w:rFonts w:ascii="Calibri" w:hAnsi="Calibri"/>
                <w:b w:val="0"/>
                <w:sz w:val="18"/>
              </w:rPr>
              <w:t>Cost table</w:t>
            </w:r>
          </w:p>
        </w:tc>
        <w:tc>
          <w:tcPr>
            <w:tcW w:type="dxa" w:w="5904"/>
            <w:vAlign w:val="center"/>
          </w:tcPr>
          <w:p>
            <w:r/>
            <w:r>
              <w:rPr>
                <w:rFonts w:ascii="Calibri" w:hAnsi="Calibri"/>
                <w:b w:val="0"/>
                <w:sz w:val="18"/>
              </w:rPr>
              <w:t>Shipping, handling, holding, procurement, and shortage costs.</w:t>
            </w:r>
          </w:p>
        </w:tc>
      </w:tr>
      <w:tr>
        <w:tc>
          <w:tcPr>
            <w:tcW w:type="dxa" w:w="3312"/>
            <w:vAlign w:val="center"/>
          </w:tcPr>
          <w:p>
            <w:r/>
            <w:r>
              <w:rPr>
                <w:rFonts w:ascii="Calibri" w:hAnsi="Calibri"/>
                <w:b w:val="0"/>
                <w:sz w:val="18"/>
              </w:rPr>
              <w:t>Optimization result table</w:t>
            </w:r>
          </w:p>
        </w:tc>
        <w:tc>
          <w:tcPr>
            <w:tcW w:type="dxa" w:w="5904"/>
            <w:vAlign w:val="center"/>
          </w:tcPr>
          <w:p>
            <w:r/>
            <w:r>
              <w:rPr>
                <w:rFonts w:ascii="Calibri" w:hAnsi="Calibri"/>
                <w:b w:val="0"/>
                <w:sz w:val="18"/>
              </w:rPr>
              <w:t>Inventory, replenishment, fulfillment, and unmet demand decisions.</w:t>
            </w:r>
          </w:p>
        </w:tc>
      </w:tr>
      <w:tr>
        <w:tc>
          <w:tcPr>
            <w:tcW w:type="dxa" w:w="3312"/>
            <w:vAlign w:val="center"/>
          </w:tcPr>
          <w:p>
            <w:r/>
            <w:r>
              <w:rPr>
                <w:rFonts w:ascii="Calibri" w:hAnsi="Calibri"/>
                <w:b w:val="0"/>
                <w:sz w:val="18"/>
              </w:rPr>
              <w:t>Benchmark comparison table</w:t>
            </w:r>
          </w:p>
        </w:tc>
        <w:tc>
          <w:tcPr>
            <w:tcW w:type="dxa" w:w="5904"/>
            <w:vAlign w:val="center"/>
          </w:tcPr>
          <w:p>
            <w:r/>
            <w:r>
              <w:rPr>
                <w:rFonts w:ascii="Calibri" w:hAnsi="Calibri"/>
                <w:b w:val="0"/>
                <w:sz w:val="18"/>
              </w:rPr>
              <w:t>Cost and service comparison across policies.</w:t>
            </w:r>
          </w:p>
        </w:tc>
      </w:tr>
    </w:tbl>
    <w:p/>
    <w:p>
      <w:pPr>
        <w:spacing w:after="160" w:line="300" w:lineRule="auto"/>
      </w:pPr>
      <w:r>
        <w:rPr>
          <w:rFonts w:ascii="Calibri" w:hAnsi="Calibri"/>
          <w:sz w:val="22"/>
        </w:rPr>
        <w:t>Expected visual outputs include weekly demand trends, forecast error comparison, total cost comparison, fill-rate comparison, cumulative cost curves, and sensitivity analysis for the safety-stock multiplier.</w:t>
      </w:r>
    </w:p>
    <w:p>
      <w:pPr>
        <w:pStyle w:val="Heading1"/>
      </w:pPr>
      <w:r>
        <w:rPr>
          <w:rFonts w:ascii="Calibri" w:hAnsi="Calibri"/>
          <w:color w:val="2E74B5"/>
        </w:rPr>
        <w:t>11. Technical Stack and Feasibility</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center"/>
            <w:shd w:fill="F4F6F9"/>
          </w:tcPr>
          <w:p>
            <w:r/>
            <w:r>
              <w:rPr>
                <w:rFonts w:ascii="Calibri" w:hAnsi="Calibri"/>
                <w:b/>
                <w:sz w:val="18"/>
              </w:rPr>
              <w:t>Component</w:t>
            </w:r>
          </w:p>
        </w:tc>
        <w:tc>
          <w:tcPr>
            <w:tcW w:type="dxa" w:w="2592"/>
            <w:vAlign w:val="center"/>
            <w:shd w:fill="F4F6F9"/>
          </w:tcPr>
          <w:p>
            <w:r/>
            <w:r>
              <w:rPr>
                <w:rFonts w:ascii="Calibri" w:hAnsi="Calibri"/>
                <w:b/>
                <w:sz w:val="18"/>
              </w:rPr>
              <w:t>Tool</w:t>
            </w:r>
          </w:p>
        </w:tc>
        <w:tc>
          <w:tcPr>
            <w:tcW w:type="dxa" w:w="4608"/>
            <w:vAlign w:val="center"/>
            <w:shd w:fill="F4F6F9"/>
          </w:tcPr>
          <w:p>
            <w:r/>
            <w:r>
              <w:rPr>
                <w:rFonts w:ascii="Calibri" w:hAnsi="Calibri"/>
                <w:b/>
                <w:sz w:val="18"/>
              </w:rPr>
              <w:t>Role</w:t>
            </w:r>
          </w:p>
        </w:tc>
      </w:tr>
      <w:tr>
        <w:tc>
          <w:tcPr>
            <w:tcW w:type="dxa" w:w="2016"/>
            <w:vAlign w:val="center"/>
          </w:tcPr>
          <w:p>
            <w:r/>
            <w:r>
              <w:rPr>
                <w:rFonts w:ascii="Calibri" w:hAnsi="Calibri"/>
                <w:b w:val="0"/>
                <w:sz w:val="18"/>
              </w:rPr>
              <w:t>Data processing</w:t>
            </w:r>
          </w:p>
        </w:tc>
        <w:tc>
          <w:tcPr>
            <w:tcW w:type="dxa" w:w="2592"/>
            <w:vAlign w:val="center"/>
          </w:tcPr>
          <w:p>
            <w:r/>
            <w:r>
              <w:rPr>
                <w:rFonts w:ascii="Calibri" w:hAnsi="Calibri"/>
                <w:b w:val="0"/>
                <w:sz w:val="18"/>
              </w:rPr>
              <w:t>Python, pandas, numpy</w:t>
            </w:r>
          </w:p>
        </w:tc>
        <w:tc>
          <w:tcPr>
            <w:tcW w:type="dxa" w:w="4608"/>
            <w:vAlign w:val="center"/>
          </w:tcPr>
          <w:p>
            <w:r/>
            <w:r>
              <w:rPr>
                <w:rFonts w:ascii="Calibri" w:hAnsi="Calibri"/>
                <w:b w:val="0"/>
                <w:sz w:val="18"/>
              </w:rPr>
              <w:t>Clean Olist data and build weekly category-region demand.</w:t>
            </w:r>
          </w:p>
        </w:tc>
      </w:tr>
      <w:tr>
        <w:tc>
          <w:tcPr>
            <w:tcW w:type="dxa" w:w="2016"/>
            <w:vAlign w:val="center"/>
          </w:tcPr>
          <w:p>
            <w:r/>
            <w:r>
              <w:rPr>
                <w:rFonts w:ascii="Calibri" w:hAnsi="Calibri"/>
                <w:b w:val="0"/>
                <w:sz w:val="18"/>
              </w:rPr>
              <w:t>Forecasting</w:t>
            </w:r>
          </w:p>
        </w:tc>
        <w:tc>
          <w:tcPr>
            <w:tcW w:type="dxa" w:w="2592"/>
            <w:vAlign w:val="center"/>
          </w:tcPr>
          <w:p>
            <w:r/>
            <w:r>
              <w:rPr>
                <w:rFonts w:ascii="Calibri" w:hAnsi="Calibri"/>
                <w:b w:val="0"/>
                <w:sz w:val="18"/>
              </w:rPr>
              <w:t>scikit-learn</w:t>
            </w:r>
          </w:p>
        </w:tc>
        <w:tc>
          <w:tcPr>
            <w:tcW w:type="dxa" w:w="4608"/>
            <w:vAlign w:val="center"/>
          </w:tcPr>
          <w:p>
            <w:r/>
            <w:r>
              <w:rPr>
                <w:rFonts w:ascii="Calibri" w:hAnsi="Calibri"/>
                <w:b w:val="0"/>
                <w:sz w:val="18"/>
              </w:rPr>
              <w:t>Moving average and Ridge regression.</w:t>
            </w:r>
          </w:p>
        </w:tc>
      </w:tr>
      <w:tr>
        <w:tc>
          <w:tcPr>
            <w:tcW w:type="dxa" w:w="2016"/>
            <w:vAlign w:val="center"/>
          </w:tcPr>
          <w:p>
            <w:r/>
            <w:r>
              <w:rPr>
                <w:rFonts w:ascii="Calibri" w:hAnsi="Calibri"/>
                <w:b w:val="0"/>
                <w:sz w:val="18"/>
              </w:rPr>
              <w:t>Optimization</w:t>
            </w:r>
          </w:p>
        </w:tc>
        <w:tc>
          <w:tcPr>
            <w:tcW w:type="dxa" w:w="2592"/>
            <w:vAlign w:val="center"/>
          </w:tcPr>
          <w:p>
            <w:r/>
            <w:r>
              <w:rPr>
                <w:rFonts w:ascii="Calibri" w:hAnsi="Calibri"/>
                <w:b w:val="0"/>
                <w:sz w:val="18"/>
              </w:rPr>
              <w:t>PuLP</w:t>
            </w:r>
          </w:p>
        </w:tc>
        <w:tc>
          <w:tcPr>
            <w:tcW w:type="dxa" w:w="4608"/>
            <w:vAlign w:val="center"/>
          </w:tcPr>
          <w:p>
            <w:r/>
            <w:r>
              <w:rPr>
                <w:rFonts w:ascii="Calibri" w:hAnsi="Calibri"/>
                <w:b w:val="0"/>
                <w:sz w:val="18"/>
              </w:rPr>
              <w:t>Build the linear optimization model.</w:t>
            </w:r>
          </w:p>
        </w:tc>
      </w:tr>
      <w:tr>
        <w:tc>
          <w:tcPr>
            <w:tcW w:type="dxa" w:w="2016"/>
            <w:vAlign w:val="center"/>
          </w:tcPr>
          <w:p>
            <w:r/>
            <w:r>
              <w:rPr>
                <w:rFonts w:ascii="Calibri" w:hAnsi="Calibri"/>
                <w:b w:val="0"/>
                <w:sz w:val="18"/>
              </w:rPr>
              <w:t>Solver</w:t>
            </w:r>
          </w:p>
        </w:tc>
        <w:tc>
          <w:tcPr>
            <w:tcW w:type="dxa" w:w="2592"/>
            <w:vAlign w:val="center"/>
          </w:tcPr>
          <w:p>
            <w:r/>
            <w:r>
              <w:rPr>
                <w:rFonts w:ascii="Calibri" w:hAnsi="Calibri"/>
                <w:b w:val="0"/>
                <w:sz w:val="18"/>
              </w:rPr>
              <w:t>CBC</w:t>
            </w:r>
          </w:p>
        </w:tc>
        <w:tc>
          <w:tcPr>
            <w:tcW w:type="dxa" w:w="4608"/>
            <w:vAlign w:val="center"/>
          </w:tcPr>
          <w:p>
            <w:r/>
            <w:r>
              <w:rPr>
                <w:rFonts w:ascii="Calibri" w:hAnsi="Calibri"/>
                <w:b w:val="0"/>
                <w:sz w:val="18"/>
              </w:rPr>
              <w:t>Solve the inventory and fulfillment model locally.</w:t>
            </w:r>
          </w:p>
        </w:tc>
      </w:tr>
      <w:tr>
        <w:tc>
          <w:tcPr>
            <w:tcW w:type="dxa" w:w="2016"/>
            <w:vAlign w:val="center"/>
          </w:tcPr>
          <w:p>
            <w:r/>
            <w:r>
              <w:rPr>
                <w:rFonts w:ascii="Calibri" w:hAnsi="Calibri"/>
                <w:b w:val="0"/>
                <w:sz w:val="18"/>
              </w:rPr>
              <w:t>Visualization</w:t>
            </w:r>
          </w:p>
        </w:tc>
        <w:tc>
          <w:tcPr>
            <w:tcW w:type="dxa" w:w="2592"/>
            <w:vAlign w:val="center"/>
          </w:tcPr>
          <w:p>
            <w:r/>
            <w:r>
              <w:rPr>
                <w:rFonts w:ascii="Calibri" w:hAnsi="Calibri"/>
                <w:b w:val="0"/>
                <w:sz w:val="18"/>
              </w:rPr>
              <w:t>matplotlib, seaborn</w:t>
            </w:r>
          </w:p>
        </w:tc>
        <w:tc>
          <w:tcPr>
            <w:tcW w:type="dxa" w:w="4608"/>
            <w:vAlign w:val="center"/>
          </w:tcPr>
          <w:p>
            <w:r/>
            <w:r>
              <w:rPr>
                <w:rFonts w:ascii="Calibri" w:hAnsi="Calibri"/>
                <w:b w:val="0"/>
                <w:sz w:val="18"/>
              </w:rPr>
              <w:t>Generate charts for report and poster.</w:t>
            </w:r>
          </w:p>
        </w:tc>
      </w:tr>
      <w:tr>
        <w:tc>
          <w:tcPr>
            <w:tcW w:type="dxa" w:w="2016"/>
            <w:vAlign w:val="center"/>
          </w:tcPr>
          <w:p>
            <w:r/>
            <w:r>
              <w:rPr>
                <w:rFonts w:ascii="Calibri" w:hAnsi="Calibri"/>
                <w:b w:val="0"/>
                <w:sz w:val="18"/>
              </w:rPr>
              <w:t>Reporting</w:t>
            </w:r>
          </w:p>
        </w:tc>
        <w:tc>
          <w:tcPr>
            <w:tcW w:type="dxa" w:w="2592"/>
            <w:vAlign w:val="center"/>
          </w:tcPr>
          <w:p>
            <w:r/>
            <w:r>
              <w:rPr>
                <w:rFonts w:ascii="Calibri" w:hAnsi="Calibri"/>
                <w:b w:val="0"/>
                <w:sz w:val="18"/>
              </w:rPr>
              <w:t>Word / PowerPoint</w:t>
            </w:r>
          </w:p>
        </w:tc>
        <w:tc>
          <w:tcPr>
            <w:tcW w:type="dxa" w:w="4608"/>
            <w:vAlign w:val="center"/>
          </w:tcPr>
          <w:p>
            <w:r/>
            <w:r>
              <w:rPr>
                <w:rFonts w:ascii="Calibri" w:hAnsi="Calibri"/>
                <w:b w:val="0"/>
                <w:sz w:val="18"/>
              </w:rPr>
              <w:t>Prepare proposal, final report, and presentation materials.</w:t>
            </w:r>
          </w:p>
        </w:tc>
      </w:tr>
    </w:tbl>
    <w:p/>
    <w:p>
      <w:pPr>
        <w:spacing w:after="160" w:line="300" w:lineRule="auto"/>
      </w:pPr>
      <w:r>
        <w:rPr>
          <w:rFonts w:ascii="Calibri" w:hAnsi="Calibri"/>
          <w:sz w:val="22"/>
        </w:rPr>
        <w:t>The project is feasible within eight days if the model remains at the category-region level rather than the individual SKU level. The recommended project pipeline is:</w:t>
      </w:r>
    </w:p>
    <w:p>
      <w:pPr>
        <w:spacing w:before="60" w:after="160"/>
        <w:jc w:val="center"/>
      </w:pPr>
      <w:r>
        <w:drawing>
          <wp:inline xmlns:a="http://schemas.openxmlformats.org/drawingml/2006/main" xmlns:pic="http://schemas.openxmlformats.org/drawingml/2006/picture">
            <wp:extent cx="5760720" cy="731767"/>
            <wp:docPr id="15" name="Picture 15"/>
            <wp:cNvGraphicFramePr>
              <a:graphicFrameLocks noChangeAspect="1"/>
            </wp:cNvGraphicFramePr>
            <a:graphic>
              <a:graphicData uri="http://schemas.openxmlformats.org/drawingml/2006/picture">
                <pic:pic>
                  <pic:nvPicPr>
                    <pic:cNvPr id="0" name="flow.png"/>
                    <pic:cNvPicPr/>
                  </pic:nvPicPr>
                  <pic:blipFill>
                    <a:blip r:embed="rId23"/>
                    <a:stretch>
                      <a:fillRect/>
                    </a:stretch>
                  </pic:blipFill>
                  <pic:spPr>
                    <a:xfrm>
                      <a:off x="0" y="0"/>
                      <a:ext cx="5760720" cy="731767"/>
                    </a:xfrm>
                    <a:prstGeom prst="rect"/>
                  </pic:spPr>
                </pic:pic>
              </a:graphicData>
            </a:graphic>
          </wp:inline>
        </w:drawing>
      </w:r>
    </w:p>
    <w:p>
      <w:pPr>
        <w:pStyle w:val="Heading1"/>
      </w:pPr>
      <w:r>
        <w:rPr>
          <w:rFonts w:ascii="Calibri" w:hAnsi="Calibri"/>
          <w:color w:val="2E74B5"/>
        </w:rPr>
        <w:t>12. Research Plan</w:t>
      </w:r>
    </w:p>
    <w:tbl>
      <w:tblPr>
        <w:tblStyle w:val="TableGrid"/>
        <w:tblW w:type="auto" w:w="0"/>
        <w:jc w:val="center"/>
        <w:tblLook w:firstColumn="1" w:firstRow="1" w:lastColumn="0" w:lastRow="0" w:noHBand="0" w:noVBand="1" w:val="04A0"/>
      </w:tblPr>
      <w:tblGrid>
        <w:gridCol w:w="4680"/>
        <w:gridCol w:w="4680"/>
      </w:tblGrid>
      <w:tr>
        <w:tc>
          <w:tcPr>
            <w:tcW w:type="dxa" w:w="1440"/>
            <w:vAlign w:val="center"/>
            <w:shd w:fill="F4F6F9"/>
          </w:tcPr>
          <w:p>
            <w:r/>
            <w:r>
              <w:rPr>
                <w:rFonts w:ascii="Calibri" w:hAnsi="Calibri"/>
                <w:b/>
                <w:sz w:val="18"/>
              </w:rPr>
              <w:t>Day</w:t>
            </w:r>
          </w:p>
        </w:tc>
        <w:tc>
          <w:tcPr>
            <w:tcW w:type="dxa" w:w="7776"/>
            <w:vAlign w:val="center"/>
            <w:shd w:fill="F4F6F9"/>
          </w:tcPr>
          <w:p>
            <w:r/>
            <w:r>
              <w:rPr>
                <w:rFonts w:ascii="Calibri" w:hAnsi="Calibri"/>
                <w:b/>
                <w:sz w:val="18"/>
              </w:rPr>
              <w:t>Main task</w:t>
            </w:r>
          </w:p>
        </w:tc>
      </w:tr>
      <w:tr>
        <w:tc>
          <w:tcPr>
            <w:tcW w:type="dxa" w:w="1440"/>
            <w:vAlign w:val="center"/>
          </w:tcPr>
          <w:p>
            <w:r/>
            <w:r>
              <w:rPr>
                <w:rFonts w:ascii="Calibri" w:hAnsi="Calibri"/>
                <w:b w:val="0"/>
                <w:sz w:val="18"/>
              </w:rPr>
              <w:t>Day 1</w:t>
            </w:r>
          </w:p>
        </w:tc>
        <w:tc>
          <w:tcPr>
            <w:tcW w:type="dxa" w:w="7776"/>
            <w:vAlign w:val="center"/>
          </w:tcPr>
          <w:p>
            <w:r/>
            <w:r>
              <w:rPr>
                <w:rFonts w:ascii="Calibri" w:hAnsi="Calibri"/>
                <w:b w:val="0"/>
                <w:sz w:val="18"/>
              </w:rPr>
              <w:t>Understand and clean Olist data; build the category-region-week demand table.</w:t>
            </w:r>
          </w:p>
        </w:tc>
      </w:tr>
      <w:tr>
        <w:tc>
          <w:tcPr>
            <w:tcW w:type="dxa" w:w="1440"/>
            <w:vAlign w:val="center"/>
          </w:tcPr>
          <w:p>
            <w:r/>
            <w:r>
              <w:rPr>
                <w:rFonts w:ascii="Calibri" w:hAnsi="Calibri"/>
                <w:b w:val="0"/>
                <w:sz w:val="18"/>
              </w:rPr>
              <w:t>Day 2</w:t>
            </w:r>
          </w:p>
        </w:tc>
        <w:tc>
          <w:tcPr>
            <w:tcW w:type="dxa" w:w="7776"/>
            <w:vAlign w:val="center"/>
          </w:tcPr>
          <w:p>
            <w:r/>
            <w:r>
              <w:rPr>
                <w:rFonts w:ascii="Calibri" w:hAnsi="Calibri"/>
                <w:b w:val="0"/>
                <w:sz w:val="18"/>
              </w:rPr>
              <w:t>Explore demand patterns and fulfillment risks by category and region.</w:t>
            </w:r>
          </w:p>
        </w:tc>
      </w:tr>
      <w:tr>
        <w:tc>
          <w:tcPr>
            <w:tcW w:type="dxa" w:w="1440"/>
            <w:vAlign w:val="center"/>
          </w:tcPr>
          <w:p>
            <w:r/>
            <w:r>
              <w:rPr>
                <w:rFonts w:ascii="Calibri" w:hAnsi="Calibri"/>
                <w:b w:val="0"/>
                <w:sz w:val="18"/>
              </w:rPr>
              <w:t>Day 3</w:t>
            </w:r>
          </w:p>
        </w:tc>
        <w:tc>
          <w:tcPr>
            <w:tcW w:type="dxa" w:w="7776"/>
            <w:vAlign w:val="center"/>
          </w:tcPr>
          <w:p>
            <w:r/>
            <w:r>
              <w:rPr>
                <w:rFonts w:ascii="Calibri" w:hAnsi="Calibri"/>
                <w:b w:val="0"/>
                <w:sz w:val="18"/>
              </w:rPr>
              <w:t>Build benchmark forecasts and Ridge regression forecasts.</w:t>
            </w:r>
          </w:p>
        </w:tc>
      </w:tr>
      <w:tr>
        <w:tc>
          <w:tcPr>
            <w:tcW w:type="dxa" w:w="1440"/>
            <w:vAlign w:val="center"/>
          </w:tcPr>
          <w:p>
            <w:r/>
            <w:r>
              <w:rPr>
                <w:rFonts w:ascii="Calibri" w:hAnsi="Calibri"/>
                <w:b w:val="0"/>
                <w:sz w:val="18"/>
              </w:rPr>
              <w:t>Day 4</w:t>
            </w:r>
          </w:p>
        </w:tc>
        <w:tc>
          <w:tcPr>
            <w:tcW w:type="dxa" w:w="7776"/>
            <w:vAlign w:val="center"/>
          </w:tcPr>
          <w:p>
            <w:r/>
            <w:r>
              <w:rPr>
                <w:rFonts w:ascii="Calibri" w:hAnsi="Calibri"/>
                <w:b w:val="0"/>
                <w:sz w:val="18"/>
              </w:rPr>
              <w:t>Define OR parameters, decision variables, objective function, and constraints.</w:t>
            </w:r>
          </w:p>
        </w:tc>
      </w:tr>
      <w:tr>
        <w:tc>
          <w:tcPr>
            <w:tcW w:type="dxa" w:w="1440"/>
            <w:vAlign w:val="center"/>
          </w:tcPr>
          <w:p>
            <w:r/>
            <w:r>
              <w:rPr>
                <w:rFonts w:ascii="Calibri" w:hAnsi="Calibri"/>
                <w:b w:val="0"/>
                <w:sz w:val="18"/>
              </w:rPr>
              <w:t>Day 5</w:t>
            </w:r>
          </w:p>
        </w:tc>
        <w:tc>
          <w:tcPr>
            <w:tcW w:type="dxa" w:w="7776"/>
            <w:vAlign w:val="center"/>
          </w:tcPr>
          <w:p>
            <w:r/>
            <w:r>
              <w:rPr>
                <w:rFonts w:ascii="Calibri" w:hAnsi="Calibri"/>
                <w:b w:val="0"/>
                <w:sz w:val="18"/>
              </w:rPr>
              <w:t>Implement the optimization model in Python and solve the base case.</w:t>
            </w:r>
          </w:p>
        </w:tc>
      </w:tr>
      <w:tr>
        <w:tc>
          <w:tcPr>
            <w:tcW w:type="dxa" w:w="1440"/>
            <w:vAlign w:val="center"/>
          </w:tcPr>
          <w:p>
            <w:r/>
            <w:r>
              <w:rPr>
                <w:rFonts w:ascii="Calibri" w:hAnsi="Calibri"/>
                <w:b w:val="0"/>
                <w:sz w:val="18"/>
              </w:rPr>
              <w:t>Day 6</w:t>
            </w:r>
          </w:p>
        </w:tc>
        <w:tc>
          <w:tcPr>
            <w:tcW w:type="dxa" w:w="7776"/>
            <w:vAlign w:val="center"/>
          </w:tcPr>
          <w:p>
            <w:r/>
            <w:r>
              <w:rPr>
                <w:rFonts w:ascii="Calibri" w:hAnsi="Calibri"/>
                <w:b w:val="0"/>
                <w:sz w:val="18"/>
              </w:rPr>
              <w:t>Run benchmark comparisons and safety-stock sensitivity analysis.</w:t>
            </w:r>
          </w:p>
        </w:tc>
      </w:tr>
      <w:tr>
        <w:tc>
          <w:tcPr>
            <w:tcW w:type="dxa" w:w="1440"/>
            <w:vAlign w:val="center"/>
          </w:tcPr>
          <w:p>
            <w:r/>
            <w:r>
              <w:rPr>
                <w:rFonts w:ascii="Calibri" w:hAnsi="Calibri"/>
                <w:b w:val="0"/>
                <w:sz w:val="18"/>
              </w:rPr>
              <w:t>Day 7</w:t>
            </w:r>
          </w:p>
        </w:tc>
        <w:tc>
          <w:tcPr>
            <w:tcW w:type="dxa" w:w="7776"/>
            <w:vAlign w:val="center"/>
          </w:tcPr>
          <w:p>
            <w:r/>
            <w:r>
              <w:rPr>
                <w:rFonts w:ascii="Calibri" w:hAnsi="Calibri"/>
                <w:b w:val="0"/>
                <w:sz w:val="18"/>
              </w:rPr>
              <w:t>Interpret results and prepare charts.</w:t>
            </w:r>
          </w:p>
        </w:tc>
      </w:tr>
      <w:tr>
        <w:tc>
          <w:tcPr>
            <w:tcW w:type="dxa" w:w="1440"/>
            <w:vAlign w:val="center"/>
          </w:tcPr>
          <w:p>
            <w:r/>
            <w:r>
              <w:rPr>
                <w:rFonts w:ascii="Calibri" w:hAnsi="Calibri"/>
                <w:b w:val="0"/>
                <w:sz w:val="18"/>
              </w:rPr>
              <w:t>Day 8</w:t>
            </w:r>
          </w:p>
        </w:tc>
        <w:tc>
          <w:tcPr>
            <w:tcW w:type="dxa" w:w="7776"/>
            <w:vAlign w:val="center"/>
          </w:tcPr>
          <w:p>
            <w:r/>
            <w:r>
              <w:rPr>
                <w:rFonts w:ascii="Calibri" w:hAnsi="Calibri"/>
                <w:b w:val="0"/>
                <w:sz w:val="18"/>
              </w:rPr>
              <w:t>Finalize report, poster, and presentation.</w:t>
            </w:r>
          </w:p>
        </w:tc>
      </w:tr>
    </w:tbl>
    <w:p/>
    <w:p>
      <w:pPr>
        <w:pStyle w:val="Heading1"/>
      </w:pPr>
      <w:r>
        <w:rPr>
          <w:rFonts w:ascii="Calibri" w:hAnsi="Calibri"/>
          <w:color w:val="2E74B5"/>
        </w:rPr>
        <w:t>13. Expected Contribution</w:t>
      </w:r>
    </w:p>
    <w:p>
      <w:pPr>
        <w:spacing w:after="160" w:line="300" w:lineRule="auto"/>
      </w:pPr>
      <w:r>
        <w:rPr>
          <w:rFonts w:ascii="Calibri" w:hAnsi="Calibri"/>
          <w:sz w:val="22"/>
        </w:rPr>
        <w:t>The contribution of this project is not only a mathematical model. It provides a complete data-driven OR decision process: historical Olist data are used to forecast demand, forecasted demand is converted into inventory planning input, and the resulting fulfillment decisions are evaluated through cost and service metrics.</w:t>
      </w:r>
    </w:p>
    <w:p>
      <w:pPr>
        <w:spacing w:after="160" w:line="300" w:lineRule="auto"/>
      </w:pPr>
      <w:r>
        <w:rPr>
          <w:rFonts w:ascii="Calibri" w:hAnsi="Calibri"/>
          <w:sz w:val="22"/>
        </w:rPr>
        <w:t>This design directly responds to the instructor's feedback: the project uses existing data to forecast demand, identifies where inventory and fulfillment risks may occur, and uses these insights to build a practical optimization model that can be implemented within the project timeline.</w:t>
      </w:r>
    </w:p>
    <w:p>
      <w:pPr>
        <w:pStyle w:val="Heading1"/>
      </w:pPr>
      <w:r>
        <w:rPr>
          <w:rFonts w:ascii="Calibri" w:hAnsi="Calibri"/>
          <w:color w:val="2E74B5"/>
        </w:rPr>
        <w:t>Selected References</w:t>
      </w:r>
    </w:p>
    <w:p>
      <w:pPr>
        <w:pStyle w:val="ListBullet"/>
        <w:spacing w:after="80" w:line="276" w:lineRule="auto"/>
      </w:pPr>
      <w:r>
        <w:rPr>
          <w:rFonts w:ascii="Calibri" w:hAnsi="Calibri"/>
          <w:sz w:val="21"/>
        </w:rPr>
        <w:t>Olist. Brazilian E-Commerce Public Dataset by Olist. Public marketplace transaction dataset.</w:t>
      </w:r>
    </w:p>
    <w:p>
      <w:pPr>
        <w:pStyle w:val="ListBullet"/>
        <w:spacing w:after="80" w:line="276" w:lineRule="auto"/>
      </w:pPr>
      <w:r>
        <w:rPr>
          <w:rFonts w:ascii="Calibri" w:hAnsi="Calibri"/>
          <w:sz w:val="21"/>
        </w:rPr>
        <w:t>Makridakis, S., Spiliotis, E., &amp; Assimakopoulos, V. Forecasting: Principles and Practice in data-driven decision making.</w:t>
      </w:r>
    </w:p>
    <w:p>
      <w:pPr>
        <w:pStyle w:val="ListBullet"/>
        <w:spacing w:after="80" w:line="276" w:lineRule="auto"/>
      </w:pPr>
      <w:r>
        <w:rPr>
          <w:rFonts w:ascii="Calibri" w:hAnsi="Calibri"/>
          <w:sz w:val="21"/>
        </w:rPr>
        <w:t>Snyder, L. V., &amp; Shen, Z. J. M. Fundamentals of Supply Chain Theory.</w:t>
      </w:r>
    </w:p>
    <w:p>
      <w:pPr>
        <w:pStyle w:val="ListBullet"/>
        <w:spacing w:after="80" w:line="276" w:lineRule="auto"/>
      </w:pPr>
      <w:r>
        <w:rPr>
          <w:rFonts w:ascii="Calibri" w:hAnsi="Calibri"/>
          <w:sz w:val="21"/>
        </w:rPr>
        <w:t>Simchi-Levi, D., Kaminsky, P., &amp; Simchi-Levi, E. Designing and Managing the Supply Chain.</w:t>
      </w:r>
    </w:p>
    <w:p>
      <w:pPr>
        <w:pStyle w:val="ListBullet"/>
        <w:spacing w:after="80" w:line="276" w:lineRule="auto"/>
      </w:pPr>
      <w:r>
        <w:rPr>
          <w:rFonts w:ascii="Calibri" w:hAnsi="Calibri"/>
          <w:sz w:val="21"/>
        </w:rPr>
        <w:t>Chopra, S. Supply Chain Management: Strategy, Planning, and Operation.</w:t>
      </w:r>
    </w:p>
    <w:p>
      <w:pPr>
        <w:pStyle w:val="ListBullet"/>
        <w:spacing w:after="80" w:line="276" w:lineRule="auto"/>
      </w:pPr>
      <w:r>
        <w:rPr>
          <w:rFonts w:ascii="Calibri" w:hAnsi="Calibri"/>
          <w:sz w:val="21"/>
        </w:rPr>
        <w:t>Recent e-commerce fulfillment and inventory studies emphasize integrating demand forecasting, service-risk estimation, and optimization-based allocation decisions.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