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84C750" w14:textId="77777777" w:rsidR="00E96B4B" w:rsidRDefault="00000000">
      <w:pPr>
        <w:rPr>
          <w:rFonts w:ascii="Times New Roman Bold" w:hAnsi="Times New Roman Bold" w:cs="Times New Roman Bold"/>
          <w:b/>
          <w:bCs/>
          <w:sz w:val="32"/>
          <w:szCs w:val="32"/>
        </w:rPr>
      </w:pPr>
      <w:r>
        <w:rPr>
          <w:rFonts w:ascii="Times New Roman" w:eastAsia="Times New Roman" w:hAnsi="Times New Roman" w:cs="Times New Roman"/>
          <w:b/>
          <w:sz w:val="32"/>
          <w:szCs w:val="32"/>
        </w:rPr>
        <w:t>Project Proposal</w:t>
      </w:r>
    </w:p>
    <w:p w14:paraId="3ADEF971" w14:textId="77777777" w:rsidR="00E96B4B" w:rsidRDefault="00E96B4B">
      <w:pPr>
        <w:rPr>
          <w:rFonts w:ascii="Times New Roman Regular" w:hAnsi="Times New Roman Regular" w:cs="Times New Roman Regular"/>
        </w:rPr>
      </w:pPr>
    </w:p>
    <w:p w14:paraId="1714326E"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1. Project Title</w:t>
      </w:r>
    </w:p>
    <w:p w14:paraId="7CDF7049" w14:textId="77777777" w:rsidR="00E96B4B" w:rsidRDefault="00000000">
      <w:pPr>
        <w:rPr>
          <w:rFonts w:ascii="Times New Roman Italic" w:hAnsi="Times New Roman Italic" w:cs="Times New Roman Italic"/>
          <w:i/>
          <w:iCs/>
        </w:rPr>
      </w:pPr>
      <w:r>
        <w:rPr>
          <w:rFonts w:ascii="Times New Roman" w:eastAsia="Times New Roman" w:hAnsi="Times New Roman" w:cs="Times New Roman"/>
          <w:i/>
          <w:szCs w:val="21"/>
        </w:rPr>
        <w:t>Demand Forecasting and Inventory-Fulfillment Optimization for E-commerce Operations: An Olist Data-Based OR Approach</w:t>
      </w:r>
    </w:p>
    <w:p w14:paraId="22E3A7EB" w14:textId="77777777" w:rsidR="00E96B4B" w:rsidRDefault="00E96B4B">
      <w:pPr>
        <w:rPr>
          <w:rFonts w:ascii="Times New Roman Regular" w:hAnsi="Times New Roman Regular" w:cs="Times New Roman Regular"/>
        </w:rPr>
      </w:pPr>
    </w:p>
    <w:p w14:paraId="12AD9E8B"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2. Project Motivation and Research Background</w:t>
      </w:r>
    </w:p>
    <w:p w14:paraId="29A7E881"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In e-commerce, customers expect rapid and reliable delivery, but the firm must prepare inventory before demand is known. Underestimating demand can create stockouts, emergency replenishment, delayed delivery, cancellation, and lost service. Overestimating demand can increase inventory holding cost and working-capital use. The operational problem is therefore not simply to ship an order after it arrives, but to anticipate where demand will occur and prepare an appropriate inventory position before the order is placed.</w:t>
      </w:r>
    </w:p>
    <w:p w14:paraId="298F6492"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This project will combine data analysis, demand forecasting, and traditional Operations Research. Historical Olist orders will first be used to identify demand patterns and fulfillment risks by product category and customer region. Forecasts and forecast uncertainty will then become inputs to an inventory and fulfillment optimization model. The model will recommend replenishment and allocation decisions that balance procurement, holding, freight, late-delivery risk, and shortage cost while protecting a minimum regional service level.</w:t>
      </w:r>
    </w:p>
    <w:p w14:paraId="7D12085B" w14:textId="06B00B7E" w:rsidR="00E96B4B" w:rsidRDefault="00000000">
      <w:pPr>
        <w:rPr>
          <w:rFonts w:ascii="Times New Roman Bold" w:hAnsi="Times New Roman Bold" w:cs="Times New Roman Bold"/>
          <w:b/>
          <w:bCs/>
        </w:rPr>
      </w:pPr>
      <w:r>
        <w:rPr>
          <w:rFonts w:ascii="Times New Roman" w:eastAsia="Times New Roman" w:hAnsi="Times New Roman" w:cs="Times New Roman"/>
          <w:szCs w:val="21"/>
        </w:rPr>
        <w:t>All non-</w:t>
      </w:r>
      <w:proofErr w:type="spellStart"/>
      <w:r>
        <w:rPr>
          <w:rFonts w:ascii="Times New Roman" w:eastAsia="Times New Roman" w:hAnsi="Times New Roman" w:cs="Times New Roman"/>
          <w:szCs w:val="21"/>
        </w:rPr>
        <w:t>Olist</w:t>
      </w:r>
      <w:proofErr w:type="spellEnd"/>
      <w:r>
        <w:rPr>
          <w:rFonts w:ascii="Times New Roman" w:eastAsia="Times New Roman" w:hAnsi="Times New Roman" w:cs="Times New Roman"/>
          <w:szCs w:val="21"/>
        </w:rPr>
        <w:t xml:space="preserve"> operational parameters will be declared and stress-tested instead of being presented as facts.</w:t>
      </w:r>
    </w:p>
    <w:p w14:paraId="37D78AAA" w14:textId="77777777" w:rsidR="00E96B4B" w:rsidRDefault="00E96B4B">
      <w:pPr>
        <w:rPr>
          <w:rFonts w:ascii="Times New Roman Regular" w:hAnsi="Times New Roman Regular" w:cs="Times New Roman Regular"/>
        </w:rPr>
      </w:pPr>
    </w:p>
    <w:p w14:paraId="47327142" w14:textId="32049F29" w:rsidR="00B70156" w:rsidRPr="00B70156" w:rsidRDefault="00B70156" w:rsidP="00B70156">
      <w:pPr>
        <w:rPr>
          <w:rFonts w:ascii="Times New Roman" w:eastAsia="Times New Roman" w:hAnsi="Times New Roman" w:cs="Times New Roman" w:hint="eastAsia"/>
          <w:b/>
          <w:szCs w:val="21"/>
        </w:rPr>
      </w:pPr>
      <w:r>
        <w:rPr>
          <w:rFonts w:ascii="Times New Roman" w:eastAsia="Times New Roman" w:hAnsi="Times New Roman" w:cs="Times New Roman" w:hint="eastAsia"/>
          <w:b/>
          <w:szCs w:val="21"/>
        </w:rPr>
        <w:t>3.</w:t>
      </w:r>
      <w:r w:rsidRPr="00B70156">
        <w:rPr>
          <w:rFonts w:ascii="Times New Roman" w:eastAsia="Times New Roman" w:hAnsi="Times New Roman" w:cs="Times New Roman"/>
          <w:b/>
          <w:szCs w:val="21"/>
        </w:rPr>
        <w:t>Literature-Informed Design</w:t>
      </w:r>
    </w:p>
    <w:p w14:paraId="4464B685" w14:textId="3690D7F2" w:rsidR="00B70156" w:rsidRPr="00B70156" w:rsidRDefault="00B70156" w:rsidP="00B70156">
      <w:pPr>
        <w:rPr>
          <w:rFonts w:ascii="Times New Roman" w:eastAsia="Times New Roman" w:hAnsi="Times New Roman" w:cs="Times New Roman" w:hint="eastAsia"/>
          <w:bCs/>
          <w:szCs w:val="21"/>
        </w:rPr>
      </w:pPr>
      <w:r w:rsidRPr="00B70156">
        <w:rPr>
          <w:rFonts w:ascii="Times New Roman" w:eastAsia="Times New Roman" w:hAnsi="Times New Roman" w:cs="Times New Roman"/>
          <w:bCs/>
          <w:szCs w:val="21"/>
        </w:rPr>
        <w:t>The proposal combines three literature streams. Forecasting research recommends chronological validation and comparison against simple benchmarks, because a complex model is useful only when it improves out-of-sample performance. Inventory research shows that point forecasts should be adjusted for uncertainty before they enter replenishment decisions. Predict-then-optimize research further argues that forecasts should be judged by their downstream cost and service consequences, not by forecast error alone.</w:t>
      </w:r>
    </w:p>
    <w:p w14:paraId="4A8E5094" w14:textId="66BAD9B7" w:rsidR="00E96B4B" w:rsidRPr="00B70156" w:rsidRDefault="00B70156" w:rsidP="00B70156">
      <w:pPr>
        <w:rPr>
          <w:rFonts w:ascii="Times New Roman Bold" w:hAnsi="Times New Roman Bold" w:cs="Times New Roman Bold"/>
          <w:bCs/>
        </w:rPr>
      </w:pPr>
      <w:r w:rsidRPr="00B70156">
        <w:rPr>
          <w:rFonts w:ascii="Times New Roman" w:eastAsia="Times New Roman" w:hAnsi="Times New Roman" w:cs="Times New Roman"/>
          <w:bCs/>
          <w:szCs w:val="21"/>
        </w:rPr>
        <w:t>These ideas lead to one integrated workflow: construct a leakage-safe demand panel; compare last-week, moving-average, and Ridge forecasts; convert the selected forecast into safety-adjusted planning demand; solve inventory and fulfillment models; and evaluate total cost, fill rate, stockouts, and sensitivity to uncertain parameters.</w:t>
      </w:r>
    </w:p>
    <w:p w14:paraId="50B62577" w14:textId="77777777" w:rsidR="00E96B4B" w:rsidRDefault="00E96B4B">
      <w:pPr>
        <w:rPr>
          <w:rFonts w:ascii="Times New Roman Regular" w:hAnsi="Times New Roman Regular" w:cs="Times New Roman Regular"/>
        </w:rPr>
      </w:pPr>
    </w:p>
    <w:p w14:paraId="76C82F0D"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4. Data Source and Data Availability</w:t>
      </w:r>
    </w:p>
    <w:p w14:paraId="78C20A58"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4.1 Observed Olist data</w:t>
      </w:r>
    </w:p>
    <w:p w14:paraId="4713BF24"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The project will use six core files from the Brazilian E-Commerce Public Dataset by Olist: orders, order items, products, product-category translation, customers, and sellers. Orders provide purchase and delivery timestamps; order items provide product, seller, price, and freight; products and translation provide category and product attributes; customers provide destination state; and sellers provide seller origin state. Payments, reviews, and geolocation are not required for the core forecast-optimization model.</w:t>
      </w:r>
    </w:p>
    <w:p w14:paraId="5B989494"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4.2 Derived variables</w:t>
      </w:r>
    </w:p>
    <w:p w14:paraId="0788DD11"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lastRenderedPageBreak/>
        <w:t>Variables derived from the observed files will include weekly category-region unit demand, regional demand share, category median price and weight, route-level median freight, seller supply share, approval-to-carrier lead-time proxy, and historical late-dispatch or late-delivery indicators. These variables are computed from Olist records; they are not additional external fields.</w:t>
      </w:r>
    </w:p>
    <w:p w14:paraId="28958CD9"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4.3 Scenario assumptions required for implementation</w:t>
      </w:r>
    </w:p>
    <w:p w14:paraId="0C49391A"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Olist does not report actual warehouse inventory, procurement cost, replenishment capacity, or warehouse handling capacity. The proposal will therefore use a transparent scenario with six seller-state proxy hubs (SP, PR, MG, RJ, SC, and RS), a four-week planning horizon, one-week replenishment lead time, initial inventory based on two weeks of average demand and historical supply share, handling capacity based on 1.35 times the 90th percentile of shipped weight (with a 50 kg floor), and replenishment capacity based on 1.50 times the 90th percentile of weekly units. The base scenario will set procurement cost to 60% of category median price, weekly holding cost to 1% of median price, shortage penalty to 125% of median price plus median freight, the regional service target to 90%, and the late-route and seller-risk weights to 8 and 5. These assumptions will then be varied in sensitivity analysis.</w:t>
      </w:r>
    </w:p>
    <w:p w14:paraId="70204CDF"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4.4 Preliminary availability check</w:t>
      </w:r>
    </w:p>
    <w:p w14:paraId="2231EA38"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The initial audit indicates 112,643 valid purchased item lines and 86 complete weeks from 2 January 2017 through 20 August 2018; the incomplete week beginning 27 August 2018 will be excluded. The ten largest categories and five customer regions form 50 weekly series and 4,300 zero-inclusive panel rows. Category-region aggregation is justified because 85.3% of products sell fewer than five units and 54.9% appear only once in the retained data.</w:t>
      </w:r>
    </w:p>
    <w:p w14:paraId="6FF32CB3" w14:textId="77777777" w:rsidR="00E96B4B" w:rsidRDefault="00E96B4B">
      <w:pPr>
        <w:rPr>
          <w:rFonts w:ascii="Times New Roman Regular" w:hAnsi="Times New Roman Regular" w:cs="Times New Roman Regular"/>
        </w:rPr>
      </w:pPr>
    </w:p>
    <w:p w14:paraId="5F06BE5F"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5. Research Questions</w:t>
      </w:r>
    </w:p>
    <w:p w14:paraId="20C21935"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 xml:space="preserve">Main question. </w:t>
      </w:r>
      <w:r>
        <w:rPr>
          <w:rFonts w:ascii="Times New Roman" w:eastAsia="Times New Roman" w:hAnsi="Times New Roman" w:cs="Times New Roman"/>
          <w:szCs w:val="21"/>
        </w:rPr>
        <w:t>Can forecast-driven inventory and fulfillment decisions reduce simulated total cost while maintaining regional service levels under Olist-derived demand and risk patterns?</w:t>
      </w:r>
    </w:p>
    <w:p w14:paraId="514DBFCC"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 xml:space="preserve">RQ1. </w:t>
      </w:r>
      <w:r>
        <w:rPr>
          <w:rFonts w:ascii="Times New Roman" w:eastAsia="Times New Roman" w:hAnsi="Times New Roman" w:cs="Times New Roman"/>
          <w:szCs w:val="21"/>
        </w:rPr>
        <w:t>How predictable is weekly demand for each product-category and customer-region combination?</w:t>
      </w:r>
    </w:p>
    <w:p w14:paraId="2EC3E222"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 xml:space="preserve">RQ2. </w:t>
      </w:r>
      <w:r>
        <w:rPr>
          <w:rFonts w:ascii="Times New Roman" w:eastAsia="Times New Roman" w:hAnsi="Times New Roman" w:cs="Times New Roman"/>
          <w:szCs w:val="21"/>
        </w:rPr>
        <w:t>How should forecast uncertainty be converted into safety-adjusted planning demand and replenishment decisions?</w:t>
      </w:r>
    </w:p>
    <w:p w14:paraId="2BC6F0D8"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 xml:space="preserve">RQ3. </w:t>
      </w:r>
      <w:r>
        <w:rPr>
          <w:rFonts w:ascii="Times New Roman" w:eastAsia="Times New Roman" w:hAnsi="Times New Roman" w:cs="Times New Roman"/>
          <w:szCs w:val="21"/>
        </w:rPr>
        <w:t>Which categories, customer regions, and seller-origin routes create the highest demand or fulfillment risk?</w:t>
      </w:r>
    </w:p>
    <w:p w14:paraId="0A1254AE"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 xml:space="preserve">RQ4. </w:t>
      </w:r>
      <w:r>
        <w:rPr>
          <w:rFonts w:ascii="Times New Roman" w:eastAsia="Times New Roman" w:hAnsi="Times New Roman" w:cs="Times New Roman"/>
          <w:szCs w:val="21"/>
        </w:rPr>
        <w:t>How should inventory be replenished and allocated under stock, throughput, replenishment-capacity, and regional-service constraints?</w:t>
      </w:r>
    </w:p>
    <w:p w14:paraId="7C475240"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 xml:space="preserve">RQ5. </w:t>
      </w:r>
      <w:r>
        <w:rPr>
          <w:rFonts w:ascii="Times New Roman" w:eastAsia="Times New Roman" w:hAnsi="Times New Roman" w:cs="Times New Roman"/>
          <w:szCs w:val="21"/>
        </w:rPr>
        <w:t>When does the pooled forecast-plus-OR policy outperform simple forecast-plus-OR benchmarks in both cost and service?</w:t>
      </w:r>
    </w:p>
    <w:p w14:paraId="572B668C" w14:textId="77777777" w:rsidR="00E96B4B" w:rsidRDefault="00E96B4B">
      <w:pPr>
        <w:rPr>
          <w:rFonts w:ascii="Times New Roman Regular" w:hAnsi="Times New Roman Regular" w:cs="Times New Roman Regular"/>
        </w:rPr>
      </w:pPr>
    </w:p>
    <w:p w14:paraId="3709E818"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6. Demand Forecasting Model</w:t>
      </w:r>
    </w:p>
    <w:p w14:paraId="1219B564"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Let D with subscripts c, r, and t denote observed unit demand for category c in customer region r during week t. Two transparent forecasts will be retained: last-week demand and a four-week moving average. The main candidate model will be a pooled Ridge regression trained across all 50 related series. Its features will include demand lags at one, two, four, and eight weeks; four- and eight-week rolling means; a time trend; calendar indicators; and category and region indicators. Pooling is intended to share information across sparse series while regularization limits overfitting.</w:t>
      </w:r>
    </w:p>
    <w:p w14:paraId="7F507A8A" w14:textId="77777777" w:rsidR="00E96B4B" w:rsidRDefault="00000000">
      <w:pPr>
        <w:jc w:val="center"/>
        <w:rPr>
          <w:rFonts w:ascii="Times New Roman Bold" w:hAnsi="Times New Roman Bold" w:cs="Times New Roman Bold"/>
          <w:b/>
          <w:bCs/>
        </w:rPr>
      </w:pPr>
      <m:oMathPara>
        <m:oMath>
          <m:sSup>
            <m:sSupPr>
              <m:ctrlPr>
                <w:rPr>
                  <w:rFonts w:ascii="Cambria Math" w:hAnsi="Cambria Math"/>
                </w:rPr>
              </m:ctrlPr>
            </m:sSupPr>
            <m:e>
              <m:r>
                <w:rPr>
                  <w:rFonts w:ascii="Times New Roman" w:eastAsia="Times New Roman" w:hAnsi="Times New Roman" w:cs="Times New Roman"/>
                  <w:szCs w:val="21"/>
                </w:rPr>
                <m:t>β</m:t>
              </m:r>
            </m:e>
            <m:sup>
              <m:r>
                <w:rPr>
                  <w:rFonts w:ascii="Times New Roman" w:eastAsia="Times New Roman" w:hAnsi="Times New Roman" w:cs="Times New Roman"/>
                  <w:szCs w:val="21"/>
                </w:rPr>
                <m:t>*</m:t>
              </m:r>
            </m:sup>
          </m:sSup>
          <m:r>
            <w:rPr>
              <w:rFonts w:ascii="Times New Roman" w:eastAsia="Times New Roman" w:hAnsi="Times New Roman" w:cs="Times New Roman"/>
              <w:szCs w:val="21"/>
            </w:rPr>
            <m:t>=</m:t>
          </m:r>
          <m:limLow>
            <m:limLowPr>
              <m:ctrlPr>
                <w:rPr>
                  <w:rFonts w:ascii="Cambria Math" w:hAnsi="Cambria Math"/>
                </w:rPr>
              </m:ctrlPr>
            </m:limLowPr>
            <m:e>
              <m:r>
                <m:rPr>
                  <m:sty m:val="p"/>
                </m:rPr>
                <w:rPr>
                  <w:rFonts w:ascii="Times New Roman" w:eastAsia="Times New Roman" w:hAnsi="Times New Roman" w:cs="Times New Roman"/>
                  <w:szCs w:val="21"/>
                </w:rPr>
                <m:t>argmin</m:t>
              </m:r>
            </m:e>
            <m:lim>
              <m:r>
                <w:rPr>
                  <w:rFonts w:ascii="Times New Roman" w:eastAsia="Times New Roman" w:hAnsi="Times New Roman" w:cs="Times New Roman"/>
                  <w:szCs w:val="21"/>
                </w:rPr>
                <m:t>β</m:t>
              </m:r>
            </m:lim>
          </m:limLow>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(c,r,t)∈</m:t>
              </m:r>
              <m:sSub>
                <m:sSubPr>
                  <m:ctrlPr>
                    <w:rPr>
                      <w:rFonts w:ascii="Cambria Math" w:hAnsi="Cambria Math"/>
                    </w:rPr>
                  </m:ctrlPr>
                </m:sSubPr>
                <m:e>
                  <m:r>
                    <w:rPr>
                      <w:rFonts w:ascii="Times New Roman" w:eastAsia="Times New Roman" w:hAnsi="Times New Roman" w:cs="Times New Roman"/>
                      <w:szCs w:val="21"/>
                    </w:rPr>
                    <m:t>T</m:t>
                  </m:r>
                </m:e>
                <m:sub>
                  <m:r>
                    <m:rPr>
                      <m:sty m:val="p"/>
                    </m:rPr>
                    <w:rPr>
                      <w:rFonts w:ascii="Times New Roman" w:eastAsia="Times New Roman" w:hAnsi="Times New Roman" w:cs="Times New Roman"/>
                      <w:szCs w:val="21"/>
                    </w:rPr>
                    <m:t>train</m:t>
                  </m:r>
                </m:sub>
              </m:sSub>
            </m:sub>
            <m:sup/>
            <m:e>
              <m:sSup>
                <m:sSupPr>
                  <m:ctrlPr>
                    <w:rPr>
                      <w:rFonts w:ascii="Cambria Math" w:hAnsi="Cambria Math"/>
                    </w:rPr>
                  </m:ctrlPr>
                </m:sSupPr>
                <m:e>
                  <m:d>
                    <m:dPr>
                      <m:begChr m:val="["/>
                      <m:sepChr m:val="−"/>
                      <m:endChr m:val="]"/>
                      <m:ctrlPr>
                        <w:rPr>
                          <w:rFonts w:ascii="Cambria Math" w:hAnsi="Cambria Math"/>
                        </w:rPr>
                      </m:ctrlPr>
                    </m:dPr>
                    <m:e>
                      <m:sSub>
                        <m:sSubPr>
                          <m:ctrlPr>
                            <w:rPr>
                              <w:rFonts w:ascii="Cambria Math" w:hAnsi="Cambria Math"/>
                            </w:rPr>
                          </m:ctrlPr>
                        </m:sSubPr>
                        <m:e>
                          <m:r>
                            <w:rPr>
                              <w:rFonts w:ascii="Times New Roman" w:eastAsia="Times New Roman" w:hAnsi="Times New Roman" w:cs="Times New Roman"/>
                              <w:szCs w:val="21"/>
                            </w:rPr>
                            <m:t>D</m:t>
                          </m:r>
                        </m:e>
                        <m:sub>
                          <m:r>
                            <w:rPr>
                              <w:rFonts w:ascii="Times New Roman" w:eastAsia="Times New Roman" w:hAnsi="Times New Roman" w:cs="Times New Roman"/>
                              <w:szCs w:val="21"/>
                            </w:rPr>
                            <m:t>c,r,t</m:t>
                          </m:r>
                        </m:sub>
                      </m:sSub>
                    </m:e>
                    <m:e>
                      <m:sSub>
                        <m:sSubPr>
                          <m:ctrlPr>
                            <w:rPr>
                              <w:rFonts w:ascii="Cambria Math" w:hAnsi="Cambria Math"/>
                            </w:rPr>
                          </m:ctrlPr>
                        </m:sSubPr>
                        <m:e>
                          <m:r>
                            <w:rPr>
                              <w:rFonts w:ascii="Times New Roman" w:eastAsia="Times New Roman" w:hAnsi="Times New Roman" w:cs="Times New Roman"/>
                              <w:szCs w:val="21"/>
                            </w:rPr>
                            <m:t>β</m:t>
                          </m:r>
                        </m:e>
                        <m:sub>
                          <m:r>
                            <w:rPr>
                              <w:rFonts w:ascii="Times New Roman" w:eastAsia="Times New Roman" w:hAnsi="Times New Roman" w:cs="Times New Roman"/>
                              <w:szCs w:val="21"/>
                            </w:rPr>
                            <m:t>0</m:t>
                          </m:r>
                        </m:sub>
                      </m:sSub>
                    </m:e>
                    <m:e>
                      <m:sSubSup>
                        <m:sSubSupPr>
                          <m:ctrlPr>
                            <w:rPr>
                              <w:rFonts w:ascii="Cambria Math" w:hAnsi="Cambria Math"/>
                            </w:rPr>
                          </m:ctrlPr>
                        </m:sSubSupPr>
                        <m:e>
                          <m:r>
                            <w:rPr>
                              <w:rFonts w:ascii="Times New Roman" w:eastAsia="Times New Roman" w:hAnsi="Times New Roman" w:cs="Times New Roman"/>
                              <w:szCs w:val="21"/>
                            </w:rPr>
                            <m:t>z</m:t>
                          </m:r>
                        </m:e>
                        <m:sub>
                          <m:r>
                            <w:rPr>
                              <w:rFonts w:ascii="Times New Roman" w:eastAsia="Times New Roman" w:hAnsi="Times New Roman" w:cs="Times New Roman"/>
                              <w:szCs w:val="21"/>
                            </w:rPr>
                            <m:t>c,r,t</m:t>
                          </m:r>
                        </m:sub>
                        <m:sup>
                          <m:r>
                            <w:rPr>
                              <w:rFonts w:ascii="Times New Roman" w:eastAsia="Times New Roman" w:hAnsi="Times New Roman" w:cs="Times New Roman"/>
                              <w:szCs w:val="21"/>
                            </w:rPr>
                            <m:t>T</m:t>
                          </m:r>
                        </m:sup>
                      </m:sSubSup>
                      <m:r>
                        <w:rPr>
                          <w:rFonts w:ascii="Times New Roman" w:eastAsia="Times New Roman" w:hAnsi="Times New Roman" w:cs="Times New Roman"/>
                          <w:szCs w:val="21"/>
                        </w:rPr>
                        <m:t>β</m:t>
                      </m:r>
                    </m:e>
                  </m:d>
                </m:e>
                <m:sup>
                  <m:r>
                    <w:rPr>
                      <w:rFonts w:ascii="Times New Roman" w:eastAsia="Times New Roman" w:hAnsi="Times New Roman" w:cs="Times New Roman"/>
                      <w:szCs w:val="21"/>
                    </w:rPr>
                    <m:t>2</m:t>
                  </m:r>
                </m:sup>
              </m:sSup>
            </m:e>
          </m:nary>
          <m:r>
            <w:rPr>
              <w:rFonts w:ascii="Times New Roman" w:eastAsia="Times New Roman" w:hAnsi="Times New Roman" w:cs="Times New Roman"/>
              <w:szCs w:val="21"/>
            </w:rPr>
            <m:t>+λ</m:t>
          </m:r>
          <m:nary>
            <m:naryPr>
              <m:chr m:val="∑"/>
              <m:limLoc m:val="undOvr"/>
              <m:grow m:val="1"/>
              <m:ctrlPr>
                <w:rPr>
                  <w:rFonts w:ascii="Cambria Math" w:hAnsi="Cambria Math"/>
                </w:rPr>
              </m:ctrlPr>
            </m:naryPr>
            <m:sub>
              <m:r>
                <w:rPr>
                  <w:rFonts w:ascii="Times New Roman" w:eastAsia="Times New Roman" w:hAnsi="Times New Roman" w:cs="Times New Roman"/>
                  <w:szCs w:val="21"/>
                </w:rPr>
                <m:t>j=1</m:t>
              </m:r>
            </m:sub>
            <m:sup>
              <m:r>
                <w:rPr>
                  <w:rFonts w:ascii="Times New Roman" w:eastAsia="Times New Roman" w:hAnsi="Times New Roman" w:cs="Times New Roman"/>
                  <w:szCs w:val="21"/>
                </w:rPr>
                <m:t>p</m:t>
              </m:r>
            </m:sup>
            <m:e>
              <m:sSubSup>
                <m:sSubSupPr>
                  <m:ctrlPr>
                    <w:rPr>
                      <w:rFonts w:ascii="Cambria Math" w:hAnsi="Cambria Math"/>
                    </w:rPr>
                  </m:ctrlPr>
                </m:sSubSupPr>
                <m:e>
                  <m:r>
                    <w:rPr>
                      <w:rFonts w:ascii="Times New Roman" w:eastAsia="Times New Roman" w:hAnsi="Times New Roman" w:cs="Times New Roman"/>
                      <w:szCs w:val="21"/>
                    </w:rPr>
                    <m:t>β</m:t>
                  </m:r>
                </m:e>
                <m:sub>
                  <m:r>
                    <w:rPr>
                      <w:rFonts w:ascii="Times New Roman" w:eastAsia="Times New Roman" w:hAnsi="Times New Roman" w:cs="Times New Roman"/>
                      <w:szCs w:val="21"/>
                    </w:rPr>
                    <m:t>j</m:t>
                  </m:r>
                </m:sub>
                <m:sup>
                  <m:r>
                    <w:rPr>
                      <w:rFonts w:ascii="Times New Roman" w:eastAsia="Times New Roman" w:hAnsi="Times New Roman" w:cs="Times New Roman"/>
                      <w:szCs w:val="21"/>
                    </w:rPr>
                    <m:t>2</m:t>
                  </m:r>
                </m:sup>
              </m:sSubSup>
            </m:e>
          </m:nary>
        </m:oMath>
      </m:oMathPara>
    </w:p>
    <w:p w14:paraId="4D7A0FB2" w14:textId="77777777" w:rsidR="00E96B4B" w:rsidRDefault="00000000">
      <w:pPr>
        <w:jc w:val="center"/>
        <w:rPr>
          <w:rFonts w:ascii="Times New Roman Bold" w:hAnsi="Times New Roman Bold" w:cs="Times New Roman Bold"/>
          <w:b/>
          <w:bCs/>
        </w:rPr>
      </w:pPr>
      <m:oMathPara>
        <m:oMath>
          <m:sSub>
            <m:sSubPr>
              <m:ctrlPr>
                <w:rPr>
                  <w:rFonts w:ascii="Cambria Math" w:hAnsi="Cambria Math"/>
                </w:rPr>
              </m:ctrlPr>
            </m:sSubPr>
            <m:e>
              <m:acc>
                <m:accPr>
                  <m:ctrlPr>
                    <w:rPr>
                      <w:rFonts w:ascii="Cambria Math" w:hAnsi="Cambria Math"/>
                    </w:rPr>
                  </m:ctrlPr>
                </m:accPr>
                <m:e>
                  <m:r>
                    <w:rPr>
                      <w:rFonts w:ascii="Times New Roman" w:eastAsia="Times New Roman" w:hAnsi="Times New Roman" w:cs="Times New Roman"/>
                      <w:szCs w:val="21"/>
                    </w:rPr>
                    <m:t>D</m:t>
                  </m:r>
                </m:e>
              </m:acc>
            </m:e>
            <m:sub>
              <m:r>
                <w:rPr>
                  <w:rFonts w:ascii="Times New Roman" w:eastAsia="Times New Roman" w:hAnsi="Times New Roman" w:cs="Times New Roman"/>
                  <w:szCs w:val="21"/>
                </w:rPr>
                <m:t>c,r,t+h</m:t>
              </m:r>
            </m:sub>
          </m:sSub>
          <m:r>
            <w:rPr>
              <w:rFonts w:ascii="Times New Roman" w:eastAsia="Times New Roman" w:hAnsi="Times New Roman" w:cs="Times New Roman"/>
              <w:szCs w:val="21"/>
            </w:rPr>
            <m:t>=</m:t>
          </m:r>
          <m:r>
            <m:rPr>
              <m:sty m:val="p"/>
            </m:rPr>
            <w:rPr>
              <w:rFonts w:ascii="Times New Roman" w:eastAsia="Times New Roman" w:hAnsi="Times New Roman" w:cs="Times New Roman"/>
              <w:szCs w:val="21"/>
            </w:rPr>
            <m:t>max</m:t>
          </m:r>
          <m:r>
            <w:rPr>
              <w:rFonts w:ascii="Times New Roman" w:eastAsia="Times New Roman" w:hAnsi="Times New Roman" w:cs="Times New Roman"/>
              <w:szCs w:val="21"/>
            </w:rPr>
            <m:t>{0,</m:t>
          </m:r>
          <m:sSubSup>
            <m:sSubSupPr>
              <m:ctrlPr>
                <w:rPr>
                  <w:rFonts w:ascii="Cambria Math" w:hAnsi="Cambria Math"/>
                </w:rPr>
              </m:ctrlPr>
            </m:sSubSupPr>
            <m:e>
              <m:r>
                <w:rPr>
                  <w:rFonts w:ascii="Times New Roman" w:eastAsia="Times New Roman" w:hAnsi="Times New Roman" w:cs="Times New Roman"/>
                  <w:szCs w:val="21"/>
                </w:rPr>
                <m:t>β</m:t>
              </m:r>
            </m:e>
            <m:sub>
              <m:r>
                <w:rPr>
                  <w:rFonts w:ascii="Times New Roman" w:eastAsia="Times New Roman" w:hAnsi="Times New Roman" w:cs="Times New Roman"/>
                  <w:szCs w:val="21"/>
                </w:rPr>
                <m:t>0</m:t>
              </m:r>
            </m:sub>
            <m:sup>
              <m:r>
                <w:rPr>
                  <w:rFonts w:ascii="Times New Roman" w:eastAsia="Times New Roman" w:hAnsi="Times New Roman" w:cs="Times New Roman"/>
                  <w:szCs w:val="21"/>
                </w:rPr>
                <m:t>*</m:t>
              </m:r>
            </m:sup>
          </m:sSubSup>
          <m:r>
            <w:rPr>
              <w:rFonts w:ascii="Times New Roman" w:eastAsia="Times New Roman" w:hAnsi="Times New Roman" w:cs="Times New Roman"/>
              <w:szCs w:val="21"/>
            </w:rPr>
            <m:t>+</m:t>
          </m:r>
          <m:sSubSup>
            <m:sSubSupPr>
              <m:ctrlPr>
                <w:rPr>
                  <w:rFonts w:ascii="Cambria Math" w:hAnsi="Cambria Math"/>
                </w:rPr>
              </m:ctrlPr>
            </m:sSubSupPr>
            <m:e>
              <m:r>
                <w:rPr>
                  <w:rFonts w:ascii="Times New Roman" w:eastAsia="Times New Roman" w:hAnsi="Times New Roman" w:cs="Times New Roman"/>
                  <w:szCs w:val="21"/>
                </w:rPr>
                <m:t>z</m:t>
              </m:r>
            </m:e>
            <m:sub>
              <m:r>
                <w:rPr>
                  <w:rFonts w:ascii="Times New Roman" w:eastAsia="Times New Roman" w:hAnsi="Times New Roman" w:cs="Times New Roman"/>
                  <w:szCs w:val="21"/>
                </w:rPr>
                <m:t>c,r,t;h</m:t>
              </m:r>
            </m:sub>
            <m:sup>
              <m:r>
                <w:rPr>
                  <w:rFonts w:ascii="Times New Roman" w:eastAsia="Times New Roman" w:hAnsi="Times New Roman" w:cs="Times New Roman"/>
                  <w:szCs w:val="21"/>
                </w:rPr>
                <m:t>T</m:t>
              </m:r>
            </m:sup>
          </m:sSubSup>
          <m:sSup>
            <m:sSupPr>
              <m:ctrlPr>
                <w:rPr>
                  <w:rFonts w:ascii="Cambria Math" w:hAnsi="Cambria Math"/>
                </w:rPr>
              </m:ctrlPr>
            </m:sSupPr>
            <m:e>
              <m:r>
                <w:rPr>
                  <w:rFonts w:ascii="Times New Roman" w:eastAsia="Times New Roman" w:hAnsi="Times New Roman" w:cs="Times New Roman"/>
                  <w:szCs w:val="21"/>
                </w:rPr>
                <m:t>β</m:t>
              </m:r>
            </m:e>
            <m:sup>
              <m:r>
                <w:rPr>
                  <w:rFonts w:ascii="Times New Roman" w:eastAsia="Times New Roman" w:hAnsi="Times New Roman" w:cs="Times New Roman"/>
                  <w:szCs w:val="21"/>
                </w:rPr>
                <m:t>*</m:t>
              </m:r>
            </m:sup>
          </m:sSup>
          <m:r>
            <w:rPr>
              <w:rFonts w:ascii="Times New Roman" w:eastAsia="Times New Roman" w:hAnsi="Times New Roman" w:cs="Times New Roman"/>
              <w:szCs w:val="21"/>
            </w:rPr>
            <m:t>}</m:t>
          </m:r>
        </m:oMath>
      </m:oMathPara>
    </w:p>
    <w:p w14:paraId="5EB8FA67"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The forecast will be estimated using expanding-window chronological validation. Every lag, rolling feature, and residual statistic will use information available before the forecast origin. Forecast performance will be reported with WAPE, MAE, and signed bias at both aggregate and category-region levels.</w:t>
      </w:r>
    </w:p>
    <w:p w14:paraId="796B19FB" w14:textId="77777777" w:rsidR="00E96B4B" w:rsidRDefault="00E96B4B">
      <w:pPr>
        <w:rPr>
          <w:rFonts w:ascii="Times New Roman Regular" w:hAnsi="Times New Roman Regular" w:cs="Times New Roman Regular"/>
        </w:rPr>
      </w:pPr>
    </w:p>
    <w:p w14:paraId="1CD0A6D9"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7. Converting Forecasts into OR Inputs</w:t>
      </w:r>
    </w:p>
    <w:p w14:paraId="0B9DA5A2"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The optimization model will not treat a point forecast as certain demand. Let s denote a past-only residual scale for each category-region series and let zeta be a safety multiplier. The safety-adjusted planning demand is:</w:t>
      </w:r>
    </w:p>
    <w:p w14:paraId="39E7E050" w14:textId="77777777" w:rsidR="00E96B4B" w:rsidRDefault="00000000">
      <w:pPr>
        <w:jc w:val="center"/>
        <w:rPr>
          <w:rFonts w:ascii="Times New Roman Bold" w:hAnsi="Times New Roman Bold" w:cs="Times New Roman Bold"/>
          <w:b/>
          <w:bCs/>
        </w:rPr>
      </w:pPr>
      <m:oMathPara>
        <m:oMath>
          <m:sSub>
            <m:sSubPr>
              <m:ctrlPr>
                <w:rPr>
                  <w:rFonts w:ascii="Cambria Math" w:hAnsi="Cambria Math"/>
                </w:rPr>
              </m:ctrlPr>
            </m:sSubPr>
            <m:e>
              <m:acc>
                <m:accPr>
                  <m:chr m:val="̃"/>
                  <m:ctrlPr>
                    <w:rPr>
                      <w:rFonts w:ascii="Cambria Math" w:hAnsi="Cambria Math"/>
                    </w:rPr>
                  </m:ctrlPr>
                </m:accPr>
                <m:e>
                  <m:r>
                    <w:rPr>
                      <w:rFonts w:ascii="Times New Roman" w:eastAsia="Times New Roman" w:hAnsi="Times New Roman" w:cs="Times New Roman"/>
                      <w:szCs w:val="21"/>
                    </w:rPr>
                    <m:t>D</m:t>
                  </m:r>
                </m:e>
              </m:acc>
            </m:e>
            <m:sub>
              <m:r>
                <w:rPr>
                  <w:rFonts w:ascii="Times New Roman" w:eastAsia="Times New Roman" w:hAnsi="Times New Roman" w:cs="Times New Roman"/>
                  <w:szCs w:val="21"/>
                </w:rPr>
                <m:t>c,r,t</m:t>
              </m:r>
            </m:sub>
          </m:sSub>
          <m:r>
            <w:rPr>
              <w:rFonts w:ascii="Times New Roman" w:eastAsia="Times New Roman" w:hAnsi="Times New Roman" w:cs="Times New Roman"/>
              <w:szCs w:val="21"/>
            </w:rPr>
            <m:t>=</m:t>
          </m:r>
          <m:r>
            <m:rPr>
              <m:sty m:val="p"/>
            </m:rPr>
            <w:rPr>
              <w:rFonts w:ascii="Times New Roman" w:eastAsia="Times New Roman" w:hAnsi="Times New Roman" w:cs="Times New Roman"/>
              <w:szCs w:val="21"/>
            </w:rPr>
            <m:t>max</m:t>
          </m:r>
          <m:r>
            <w:rPr>
              <w:rFonts w:ascii="Times New Roman" w:eastAsia="Times New Roman" w:hAnsi="Times New Roman" w:cs="Times New Roman"/>
              <w:szCs w:val="21"/>
            </w:rPr>
            <m:t>{0,</m:t>
          </m:r>
          <m:sSub>
            <m:sSubPr>
              <m:ctrlPr>
                <w:rPr>
                  <w:rFonts w:ascii="Cambria Math" w:hAnsi="Cambria Math"/>
                </w:rPr>
              </m:ctrlPr>
            </m:sSubPr>
            <m:e>
              <m:acc>
                <m:accPr>
                  <m:ctrlPr>
                    <w:rPr>
                      <w:rFonts w:ascii="Cambria Math" w:hAnsi="Cambria Math"/>
                    </w:rPr>
                  </m:ctrlPr>
                </m:accPr>
                <m:e>
                  <m:r>
                    <w:rPr>
                      <w:rFonts w:ascii="Times New Roman" w:eastAsia="Times New Roman" w:hAnsi="Times New Roman" w:cs="Times New Roman"/>
                      <w:szCs w:val="21"/>
                    </w:rPr>
                    <m:t>D</m:t>
                  </m:r>
                </m:e>
              </m:acc>
            </m:e>
            <m:sub>
              <m:r>
                <w:rPr>
                  <w:rFonts w:ascii="Times New Roman" w:eastAsia="Times New Roman" w:hAnsi="Times New Roman" w:cs="Times New Roman"/>
                  <w:szCs w:val="21"/>
                </w:rPr>
                <m:t>c,r,t</m:t>
              </m:r>
            </m:sub>
          </m:sSub>
          <m:r>
            <w:rPr>
              <w:rFonts w:ascii="Times New Roman" w:eastAsia="Times New Roman" w:hAnsi="Times New Roman" w:cs="Times New Roman"/>
              <w:szCs w:val="21"/>
            </w:rPr>
            <m:t>+ζ</m:t>
          </m:r>
          <m:sSub>
            <m:sSubPr>
              <m:ctrlPr>
                <w:rPr>
                  <w:rFonts w:ascii="Cambria Math" w:hAnsi="Cambria Math"/>
                </w:rPr>
              </m:ctrlPr>
            </m:sSubPr>
            <m:e>
              <m:r>
                <w:rPr>
                  <w:rFonts w:ascii="Times New Roman" w:eastAsia="Times New Roman" w:hAnsi="Times New Roman" w:cs="Times New Roman"/>
                  <w:szCs w:val="21"/>
                </w:rPr>
                <m:t>s</m:t>
              </m:r>
            </m:e>
            <m:sub>
              <m:r>
                <w:rPr>
                  <w:rFonts w:ascii="Times New Roman" w:eastAsia="Times New Roman" w:hAnsi="Times New Roman" w:cs="Times New Roman"/>
                  <w:szCs w:val="21"/>
                </w:rPr>
                <m:t>c,r</m:t>
              </m:r>
            </m:sub>
          </m:sSub>
          <m:r>
            <w:rPr>
              <w:rFonts w:ascii="Times New Roman" w:eastAsia="Times New Roman" w:hAnsi="Times New Roman" w:cs="Times New Roman"/>
              <w:szCs w:val="21"/>
            </w:rPr>
            <m:t>}</m:t>
          </m:r>
        </m:oMath>
      </m:oMathPara>
    </w:p>
    <w:p w14:paraId="0F953A34"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A larger safety multiplier protects service but may increase holding cost. The base scenario will use zeta = 0.50, and alternative values will be evaluated. Forecasts will also determine the regional distribution of planned demand. Opening inventory, capacity, and costs will be generated separately from historical supply, weight, price, and freight statistics so that prediction variables and scenario assumptions remain auditable.</w:t>
      </w:r>
    </w:p>
    <w:p w14:paraId="6AE687E6" w14:textId="77777777" w:rsidR="00E96B4B" w:rsidRDefault="00E96B4B">
      <w:pPr>
        <w:rPr>
          <w:rFonts w:ascii="Times New Roman Regular" w:hAnsi="Times New Roman Regular" w:cs="Times New Roman Regular"/>
        </w:rPr>
      </w:pPr>
    </w:p>
    <w:p w14:paraId="28F86670"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8. Mathematical Optimization Model</w:t>
      </w:r>
    </w:p>
    <w:p w14:paraId="5C7E8F1B"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8.1 Stage A: forecast-driven inventory plan</w:t>
      </w:r>
    </w:p>
    <w:p w14:paraId="7E44F664"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Indices are warehouse i, category c, customer region r, and week t. Decision q is replenishment, x is planned fulfillment, I is ending inventory, and u is planned shortage. Parameters p, h, pi, and c-bar represent procurement, holding, shortage, and risk-adjusted route costs. The objective is:</w:t>
      </w:r>
    </w:p>
    <w:p w14:paraId="36AD56A3" w14:textId="77777777" w:rsidR="00E96B4B" w:rsidRDefault="00000000">
      <w:pPr>
        <w:jc w:val="center"/>
        <w:rPr>
          <w:rFonts w:ascii="Times New Roman Bold" w:hAnsi="Times New Roman Bold" w:cs="Times New Roman Bold"/>
          <w:b/>
          <w:bCs/>
        </w:rPr>
      </w:pPr>
      <m:oMathPara>
        <m:oMath>
          <m:r>
            <m:rPr>
              <m:sty m:val="p"/>
            </m:rPr>
            <w:rPr>
              <w:rFonts w:ascii="Times New Roman" w:eastAsia="Times New Roman" w:hAnsi="Times New Roman" w:cs="Times New Roman"/>
              <w:szCs w:val="21"/>
            </w:rPr>
            <m:t>min</m:t>
          </m:r>
          <m:sSub>
            <m:sSubPr>
              <m:ctrlPr>
                <w:rPr>
                  <w:rFonts w:ascii="Cambria Math" w:hAnsi="Cambria Math"/>
                </w:rPr>
              </m:ctrlPr>
            </m:sSubPr>
            <m:e>
              <m:r>
                <w:rPr>
                  <w:rFonts w:ascii="Times New Roman" w:eastAsia="Times New Roman" w:hAnsi="Times New Roman" w:cs="Times New Roman"/>
                  <w:szCs w:val="21"/>
                </w:rPr>
                <m:t>Z</m:t>
              </m:r>
            </m:e>
            <m:sub>
              <m:r>
                <w:rPr>
                  <w:rFonts w:ascii="Times New Roman" w:eastAsia="Times New Roman" w:hAnsi="Times New Roman" w:cs="Times New Roman"/>
                  <w:szCs w:val="21"/>
                </w:rPr>
                <m:t>A</m:t>
              </m:r>
            </m:sub>
          </m:sSub>
          <m:r>
            <w:rPr>
              <w:rFonts w:ascii="Times New Roman" w:eastAsia="Times New Roman" w:hAnsi="Times New Roman" w:cs="Times New Roman"/>
              <w:szCs w:val="21"/>
            </w:rPr>
            <m:t>=</m:t>
          </m:r>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i,c,t</m:t>
              </m:r>
            </m:sub>
            <m:sup/>
            <m:e>
              <m:sSub>
                <m:sSubPr>
                  <m:ctrlPr>
                    <w:rPr>
                      <w:rFonts w:ascii="Cambria Math" w:hAnsi="Cambria Math"/>
                    </w:rPr>
                  </m:ctrlPr>
                </m:sSubPr>
                <m:e>
                  <m:r>
                    <w:rPr>
                      <w:rFonts w:ascii="Times New Roman" w:eastAsia="Times New Roman" w:hAnsi="Times New Roman" w:cs="Times New Roman"/>
                      <w:szCs w:val="21"/>
                    </w:rPr>
                    <m:t>p</m:t>
                  </m:r>
                </m:e>
                <m:sub>
                  <m:r>
                    <w:rPr>
                      <w:rFonts w:ascii="Times New Roman" w:eastAsia="Times New Roman" w:hAnsi="Times New Roman" w:cs="Times New Roman"/>
                      <w:szCs w:val="21"/>
                    </w:rPr>
                    <m:t>i,c</m:t>
                  </m:r>
                </m:sub>
              </m:sSub>
            </m:e>
          </m:nary>
          <m:sSub>
            <m:sSubPr>
              <m:ctrlPr>
                <w:rPr>
                  <w:rFonts w:ascii="Cambria Math" w:hAnsi="Cambria Math"/>
                </w:rPr>
              </m:ctrlPr>
            </m:sSubPr>
            <m:e>
              <m:r>
                <w:rPr>
                  <w:rFonts w:ascii="Times New Roman" w:eastAsia="Times New Roman" w:hAnsi="Times New Roman" w:cs="Times New Roman"/>
                  <w:szCs w:val="21"/>
                </w:rPr>
                <m:t>q</m:t>
              </m:r>
            </m:e>
            <m:sub>
              <m:r>
                <w:rPr>
                  <w:rFonts w:ascii="Times New Roman" w:eastAsia="Times New Roman" w:hAnsi="Times New Roman" w:cs="Times New Roman"/>
                  <w:szCs w:val="21"/>
                </w:rPr>
                <m:t>i,c,t</m:t>
              </m:r>
            </m:sub>
          </m:sSub>
          <m:r>
            <w:rPr>
              <w:rFonts w:ascii="Times New Roman" w:eastAsia="Times New Roman" w:hAnsi="Times New Roman" w:cs="Times New Roman"/>
              <w:szCs w:val="21"/>
            </w:rPr>
            <m:t>+</m:t>
          </m:r>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i,c,r,t</m:t>
              </m:r>
            </m:sub>
            <m:sup/>
            <m:e>
              <m:sSub>
                <m:sSubPr>
                  <m:ctrlPr>
                    <w:rPr>
                      <w:rFonts w:ascii="Cambria Math" w:hAnsi="Cambria Math"/>
                    </w:rPr>
                  </m:ctrlPr>
                </m:sSubPr>
                <m:e>
                  <m:acc>
                    <m:accPr>
                      <m:chr m:val="̅"/>
                      <m:ctrlPr>
                        <w:rPr>
                          <w:rFonts w:ascii="Cambria Math" w:hAnsi="Cambria Math"/>
                        </w:rPr>
                      </m:ctrlPr>
                    </m:accPr>
                    <m:e>
                      <m:r>
                        <w:rPr>
                          <w:rFonts w:ascii="Times New Roman" w:eastAsia="Times New Roman" w:hAnsi="Times New Roman" w:cs="Times New Roman"/>
                          <w:szCs w:val="21"/>
                        </w:rPr>
                        <m:t>c</m:t>
                      </m:r>
                    </m:e>
                  </m:acc>
                </m:e>
                <m:sub>
                  <m:r>
                    <w:rPr>
                      <w:rFonts w:ascii="Times New Roman" w:eastAsia="Times New Roman" w:hAnsi="Times New Roman" w:cs="Times New Roman"/>
                      <w:szCs w:val="21"/>
                    </w:rPr>
                    <m:t>i,c,r,t</m:t>
                  </m:r>
                </m:sub>
              </m:sSub>
            </m:e>
          </m:nary>
          <m:sSub>
            <m:sSubPr>
              <m:ctrlPr>
                <w:rPr>
                  <w:rFonts w:ascii="Cambria Math" w:hAnsi="Cambria Math"/>
                </w:rPr>
              </m:ctrlPr>
            </m:sSubPr>
            <m:e>
              <m:r>
                <w:rPr>
                  <w:rFonts w:ascii="Times New Roman" w:eastAsia="Times New Roman" w:hAnsi="Times New Roman" w:cs="Times New Roman"/>
                  <w:szCs w:val="21"/>
                </w:rPr>
                <m:t>x</m:t>
              </m:r>
            </m:e>
            <m:sub>
              <m:r>
                <w:rPr>
                  <w:rFonts w:ascii="Times New Roman" w:eastAsia="Times New Roman" w:hAnsi="Times New Roman" w:cs="Times New Roman"/>
                  <w:szCs w:val="21"/>
                </w:rPr>
                <m:t>i,c,r,t</m:t>
              </m:r>
            </m:sub>
          </m:sSub>
          <m:r>
            <w:rPr>
              <w:rFonts w:ascii="Times New Roman" w:eastAsia="Times New Roman" w:hAnsi="Times New Roman" w:cs="Times New Roman"/>
              <w:szCs w:val="21"/>
            </w:rPr>
            <m:t>+</m:t>
          </m:r>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i,c,t</m:t>
              </m:r>
            </m:sub>
            <m:sup/>
            <m:e>
              <m:sSub>
                <m:sSubPr>
                  <m:ctrlPr>
                    <w:rPr>
                      <w:rFonts w:ascii="Cambria Math" w:hAnsi="Cambria Math"/>
                    </w:rPr>
                  </m:ctrlPr>
                </m:sSubPr>
                <m:e>
                  <m:r>
                    <w:rPr>
                      <w:rFonts w:ascii="Times New Roman" w:eastAsia="Times New Roman" w:hAnsi="Times New Roman" w:cs="Times New Roman"/>
                      <w:szCs w:val="21"/>
                    </w:rPr>
                    <m:t>h</m:t>
                  </m:r>
                </m:e>
                <m:sub>
                  <m:r>
                    <w:rPr>
                      <w:rFonts w:ascii="Times New Roman" w:eastAsia="Times New Roman" w:hAnsi="Times New Roman" w:cs="Times New Roman"/>
                      <w:szCs w:val="21"/>
                    </w:rPr>
                    <m:t>c</m:t>
                  </m:r>
                </m:sub>
              </m:sSub>
            </m:e>
          </m:nary>
          <m:sSub>
            <m:sSubPr>
              <m:ctrlPr>
                <w:rPr>
                  <w:rFonts w:ascii="Cambria Math" w:hAnsi="Cambria Math"/>
                </w:rPr>
              </m:ctrlPr>
            </m:sSubPr>
            <m:e>
              <m:r>
                <w:rPr>
                  <w:rFonts w:ascii="Times New Roman" w:eastAsia="Times New Roman" w:hAnsi="Times New Roman" w:cs="Times New Roman"/>
                  <w:szCs w:val="21"/>
                </w:rPr>
                <m:t>I</m:t>
              </m:r>
            </m:e>
            <m:sub>
              <m:r>
                <w:rPr>
                  <w:rFonts w:ascii="Times New Roman" w:eastAsia="Times New Roman" w:hAnsi="Times New Roman" w:cs="Times New Roman"/>
                  <w:szCs w:val="21"/>
                </w:rPr>
                <m:t>i,c,t</m:t>
              </m:r>
            </m:sub>
          </m:sSub>
          <m:r>
            <w:rPr>
              <w:rFonts w:ascii="Times New Roman" w:eastAsia="Times New Roman" w:hAnsi="Times New Roman" w:cs="Times New Roman"/>
              <w:szCs w:val="21"/>
            </w:rPr>
            <m:t>+</m:t>
          </m:r>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c,r,t</m:t>
              </m:r>
            </m:sub>
            <m:sup/>
            <m:e>
              <m:sSub>
                <m:sSubPr>
                  <m:ctrlPr>
                    <w:rPr>
                      <w:rFonts w:ascii="Cambria Math" w:hAnsi="Cambria Math"/>
                    </w:rPr>
                  </m:ctrlPr>
                </m:sSubPr>
                <m:e>
                  <m:r>
                    <w:rPr>
                      <w:rFonts w:ascii="Times New Roman" w:eastAsia="Times New Roman" w:hAnsi="Times New Roman" w:cs="Times New Roman"/>
                      <w:szCs w:val="21"/>
                    </w:rPr>
                    <m:t>π</m:t>
                  </m:r>
                </m:e>
                <m:sub>
                  <m:r>
                    <w:rPr>
                      <w:rFonts w:ascii="Times New Roman" w:eastAsia="Times New Roman" w:hAnsi="Times New Roman" w:cs="Times New Roman"/>
                      <w:szCs w:val="21"/>
                    </w:rPr>
                    <m:t>c</m:t>
                  </m:r>
                </m:sub>
              </m:sSub>
            </m:e>
          </m:nary>
          <m:sSub>
            <m:sSubPr>
              <m:ctrlPr>
                <w:rPr>
                  <w:rFonts w:ascii="Cambria Math" w:hAnsi="Cambria Math"/>
                </w:rPr>
              </m:ctrlPr>
            </m:sSubPr>
            <m:e>
              <m:r>
                <w:rPr>
                  <w:rFonts w:ascii="Times New Roman" w:eastAsia="Times New Roman" w:hAnsi="Times New Roman" w:cs="Times New Roman"/>
                  <w:szCs w:val="21"/>
                </w:rPr>
                <m:t>u</m:t>
              </m:r>
            </m:e>
            <m:sub>
              <m:r>
                <w:rPr>
                  <w:rFonts w:ascii="Times New Roman" w:eastAsia="Times New Roman" w:hAnsi="Times New Roman" w:cs="Times New Roman"/>
                  <w:szCs w:val="21"/>
                </w:rPr>
                <m:t>c,r,t</m:t>
              </m:r>
            </m:sub>
          </m:sSub>
          <m:r>
            <w:rPr>
              <w:rFonts w:ascii="Times New Roman" w:eastAsia="Times New Roman" w:hAnsi="Times New Roman" w:cs="Times New Roman"/>
              <w:szCs w:val="21"/>
            </w:rPr>
            <m:t>+κ</m:t>
          </m:r>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r,t</m:t>
              </m:r>
            </m:sub>
            <m:sup/>
            <m:e>
              <m:sSub>
                <m:sSubPr>
                  <m:ctrlPr>
                    <w:rPr>
                      <w:rFonts w:ascii="Cambria Math" w:hAnsi="Cambria Math"/>
                    </w:rPr>
                  </m:ctrlPr>
                </m:sSubPr>
                <m:e>
                  <m:r>
                    <w:rPr>
                      <w:rFonts w:ascii="Times New Roman" w:eastAsia="Times New Roman" w:hAnsi="Times New Roman" w:cs="Times New Roman"/>
                      <w:szCs w:val="21"/>
                    </w:rPr>
                    <m:t>g</m:t>
                  </m:r>
                </m:e>
                <m:sub>
                  <m:r>
                    <w:rPr>
                      <w:rFonts w:ascii="Times New Roman" w:eastAsia="Times New Roman" w:hAnsi="Times New Roman" w:cs="Times New Roman"/>
                      <w:szCs w:val="21"/>
                    </w:rPr>
                    <m:t>r,t</m:t>
                  </m:r>
                </m:sub>
              </m:sSub>
            </m:e>
          </m:nary>
        </m:oMath>
      </m:oMathPara>
    </w:p>
    <w:p w14:paraId="32E16BE1"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Inventory balance and planning-demand accounting are:</w:t>
      </w:r>
    </w:p>
    <w:p w14:paraId="0CF46737" w14:textId="77777777" w:rsidR="00E96B4B" w:rsidRDefault="00000000">
      <w:pPr>
        <w:jc w:val="center"/>
        <w:rPr>
          <w:rFonts w:ascii="Times New Roman Bold" w:hAnsi="Times New Roman Bold" w:cs="Times New Roman Bold"/>
          <w:b/>
          <w:bCs/>
        </w:rPr>
      </w:pPr>
      <m:oMathPara>
        <m:oMath>
          <m:sSub>
            <m:sSubPr>
              <m:ctrlPr>
                <w:rPr>
                  <w:rFonts w:ascii="Cambria Math" w:hAnsi="Cambria Math"/>
                </w:rPr>
              </m:ctrlPr>
            </m:sSubPr>
            <m:e>
              <m:r>
                <w:rPr>
                  <w:rFonts w:ascii="Times New Roman" w:eastAsia="Times New Roman" w:hAnsi="Times New Roman" w:cs="Times New Roman"/>
                  <w:szCs w:val="21"/>
                </w:rPr>
                <m:t>I</m:t>
              </m:r>
            </m:e>
            <m:sub>
              <m:r>
                <w:rPr>
                  <w:rFonts w:ascii="Times New Roman" w:eastAsia="Times New Roman" w:hAnsi="Times New Roman" w:cs="Times New Roman"/>
                  <w:szCs w:val="21"/>
                </w:rPr>
                <m:t>i,c,t</m:t>
              </m:r>
            </m:sub>
          </m:sSub>
          <m:r>
            <w:rPr>
              <w:rFonts w:ascii="Times New Roman" w:eastAsia="Times New Roman" w:hAnsi="Times New Roman" w:cs="Times New Roman"/>
              <w:szCs w:val="21"/>
            </w:rPr>
            <m:t>=</m:t>
          </m:r>
          <m:sSub>
            <m:sSubPr>
              <m:ctrlPr>
                <w:rPr>
                  <w:rFonts w:ascii="Cambria Math" w:hAnsi="Cambria Math"/>
                </w:rPr>
              </m:ctrlPr>
            </m:sSubPr>
            <m:e>
              <m:r>
                <w:rPr>
                  <w:rFonts w:ascii="Times New Roman" w:eastAsia="Times New Roman" w:hAnsi="Times New Roman" w:cs="Times New Roman"/>
                  <w:szCs w:val="21"/>
                </w:rPr>
                <m:t>I</m:t>
              </m:r>
            </m:e>
            <m:sub>
              <m:r>
                <w:rPr>
                  <w:rFonts w:ascii="Times New Roman" w:eastAsia="Times New Roman" w:hAnsi="Times New Roman" w:cs="Times New Roman"/>
                  <w:szCs w:val="21"/>
                </w:rPr>
                <m:t>i,c,t-1</m:t>
              </m:r>
            </m:sub>
          </m:sSub>
          <m:r>
            <w:rPr>
              <w:rFonts w:ascii="Times New Roman" w:eastAsia="Times New Roman" w:hAnsi="Times New Roman" w:cs="Times New Roman"/>
              <w:szCs w:val="21"/>
            </w:rPr>
            <m:t>+</m:t>
          </m:r>
          <m:sSub>
            <m:sSubPr>
              <m:ctrlPr>
                <w:rPr>
                  <w:rFonts w:ascii="Cambria Math" w:hAnsi="Cambria Math"/>
                </w:rPr>
              </m:ctrlPr>
            </m:sSubPr>
            <m:e>
              <m:r>
                <w:rPr>
                  <w:rFonts w:ascii="Times New Roman" w:eastAsia="Times New Roman" w:hAnsi="Times New Roman" w:cs="Times New Roman"/>
                  <w:szCs w:val="21"/>
                </w:rPr>
                <m:t>q</m:t>
              </m:r>
            </m:e>
            <m:sub>
              <m:r>
                <w:rPr>
                  <w:rFonts w:ascii="Times New Roman" w:eastAsia="Times New Roman" w:hAnsi="Times New Roman" w:cs="Times New Roman"/>
                  <w:szCs w:val="21"/>
                </w:rPr>
                <m:t>i,c,t-</m:t>
              </m:r>
              <m:sSub>
                <m:sSubPr>
                  <m:ctrlPr>
                    <w:rPr>
                      <w:rFonts w:ascii="Cambria Math" w:hAnsi="Cambria Math"/>
                    </w:rPr>
                  </m:ctrlPr>
                </m:sSubPr>
                <m:e>
                  <m:r>
                    <w:rPr>
                      <w:rFonts w:ascii="Times New Roman" w:eastAsia="Times New Roman" w:hAnsi="Times New Roman" w:cs="Times New Roman"/>
                      <w:szCs w:val="21"/>
                    </w:rPr>
                    <m:t>L</m:t>
                  </m:r>
                </m:e>
                <m:sub>
                  <m:r>
                    <w:rPr>
                      <w:rFonts w:ascii="Times New Roman" w:eastAsia="Times New Roman" w:hAnsi="Times New Roman" w:cs="Times New Roman"/>
                      <w:szCs w:val="21"/>
                    </w:rPr>
                    <m:t>i,c</m:t>
                  </m:r>
                </m:sub>
              </m:sSub>
            </m:sub>
          </m:sSub>
          <m:r>
            <w:rPr>
              <w:rFonts w:ascii="Times New Roman" w:eastAsia="Times New Roman" w:hAnsi="Times New Roman" w:cs="Times New Roman"/>
              <w:szCs w:val="21"/>
            </w:rPr>
            <m:t>-</m:t>
          </m:r>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r</m:t>
              </m:r>
            </m:sub>
            <m:sup/>
            <m:e>
              <m:sSub>
                <m:sSubPr>
                  <m:ctrlPr>
                    <w:rPr>
                      <w:rFonts w:ascii="Cambria Math" w:hAnsi="Cambria Math"/>
                    </w:rPr>
                  </m:ctrlPr>
                </m:sSubPr>
                <m:e>
                  <m:r>
                    <w:rPr>
                      <w:rFonts w:ascii="Times New Roman" w:eastAsia="Times New Roman" w:hAnsi="Times New Roman" w:cs="Times New Roman"/>
                      <w:szCs w:val="21"/>
                    </w:rPr>
                    <m:t>x</m:t>
                  </m:r>
                </m:e>
                <m:sub>
                  <m:r>
                    <w:rPr>
                      <w:rFonts w:ascii="Times New Roman" w:eastAsia="Times New Roman" w:hAnsi="Times New Roman" w:cs="Times New Roman"/>
                      <w:szCs w:val="21"/>
                    </w:rPr>
                    <m:t>i,c,r,t</m:t>
                  </m:r>
                </m:sub>
              </m:sSub>
            </m:e>
          </m:nary>
        </m:oMath>
      </m:oMathPara>
    </w:p>
    <w:p w14:paraId="17285F9B" w14:textId="77777777" w:rsidR="00E96B4B" w:rsidRDefault="00000000">
      <w:pPr>
        <w:jc w:val="center"/>
        <w:rPr>
          <w:rFonts w:ascii="Times New Roman Bold" w:hAnsi="Times New Roman Bold" w:cs="Times New Roman Bold"/>
          <w:b/>
          <w:bCs/>
        </w:rPr>
      </w:pPr>
      <m:oMathPara>
        <m:oMath>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i</m:t>
              </m:r>
            </m:sub>
            <m:sup/>
            <m:e>
              <m:sSub>
                <m:sSubPr>
                  <m:ctrlPr>
                    <w:rPr>
                      <w:rFonts w:ascii="Cambria Math" w:hAnsi="Cambria Math"/>
                    </w:rPr>
                  </m:ctrlPr>
                </m:sSubPr>
                <m:e>
                  <m:r>
                    <w:rPr>
                      <w:rFonts w:ascii="Times New Roman" w:eastAsia="Times New Roman" w:hAnsi="Times New Roman" w:cs="Times New Roman"/>
                      <w:szCs w:val="21"/>
                    </w:rPr>
                    <m:t>x</m:t>
                  </m:r>
                </m:e>
                <m:sub>
                  <m:r>
                    <w:rPr>
                      <w:rFonts w:ascii="Times New Roman" w:eastAsia="Times New Roman" w:hAnsi="Times New Roman" w:cs="Times New Roman"/>
                      <w:szCs w:val="21"/>
                    </w:rPr>
                    <m:t>i,c,r,t</m:t>
                  </m:r>
                </m:sub>
              </m:sSub>
            </m:e>
          </m:nary>
          <m:r>
            <w:rPr>
              <w:rFonts w:ascii="Times New Roman" w:eastAsia="Times New Roman" w:hAnsi="Times New Roman" w:cs="Times New Roman"/>
              <w:szCs w:val="21"/>
            </w:rPr>
            <m:t>+</m:t>
          </m:r>
          <m:sSub>
            <m:sSubPr>
              <m:ctrlPr>
                <w:rPr>
                  <w:rFonts w:ascii="Cambria Math" w:hAnsi="Cambria Math"/>
                </w:rPr>
              </m:ctrlPr>
            </m:sSubPr>
            <m:e>
              <m:r>
                <w:rPr>
                  <w:rFonts w:ascii="Times New Roman" w:eastAsia="Times New Roman" w:hAnsi="Times New Roman" w:cs="Times New Roman"/>
                  <w:szCs w:val="21"/>
                </w:rPr>
                <m:t>u</m:t>
              </m:r>
            </m:e>
            <m:sub>
              <m:r>
                <w:rPr>
                  <w:rFonts w:ascii="Times New Roman" w:eastAsia="Times New Roman" w:hAnsi="Times New Roman" w:cs="Times New Roman"/>
                  <w:szCs w:val="21"/>
                </w:rPr>
                <m:t>c,r,t</m:t>
              </m:r>
            </m:sub>
          </m:sSub>
          <m:r>
            <w:rPr>
              <w:rFonts w:ascii="Times New Roman" w:eastAsia="Times New Roman" w:hAnsi="Times New Roman" w:cs="Times New Roman"/>
              <w:szCs w:val="21"/>
            </w:rPr>
            <m:t>=</m:t>
          </m:r>
          <m:sSub>
            <m:sSubPr>
              <m:ctrlPr>
                <w:rPr>
                  <w:rFonts w:ascii="Cambria Math" w:hAnsi="Cambria Math"/>
                </w:rPr>
              </m:ctrlPr>
            </m:sSubPr>
            <m:e>
              <m:acc>
                <m:accPr>
                  <m:chr m:val="̃"/>
                  <m:ctrlPr>
                    <w:rPr>
                      <w:rFonts w:ascii="Cambria Math" w:hAnsi="Cambria Math"/>
                    </w:rPr>
                  </m:ctrlPr>
                </m:accPr>
                <m:e>
                  <m:r>
                    <w:rPr>
                      <w:rFonts w:ascii="Times New Roman" w:eastAsia="Times New Roman" w:hAnsi="Times New Roman" w:cs="Times New Roman"/>
                      <w:szCs w:val="21"/>
                    </w:rPr>
                    <m:t>D</m:t>
                  </m:r>
                </m:e>
              </m:acc>
            </m:e>
            <m:sub>
              <m:r>
                <w:rPr>
                  <w:rFonts w:ascii="Times New Roman" w:eastAsia="Times New Roman" w:hAnsi="Times New Roman" w:cs="Times New Roman"/>
                  <w:szCs w:val="21"/>
                </w:rPr>
                <m:t>c,r,t</m:t>
              </m:r>
            </m:sub>
          </m:sSub>
        </m:oMath>
      </m:oMathPara>
    </w:p>
    <w:p w14:paraId="02E880C0"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Warehouse throughput and replenishment capacity are limited by:</w:t>
      </w:r>
    </w:p>
    <w:p w14:paraId="2C9FE525" w14:textId="77777777" w:rsidR="00E96B4B" w:rsidRDefault="00000000">
      <w:pPr>
        <w:jc w:val="center"/>
        <w:rPr>
          <w:rFonts w:ascii="Times New Roman Bold" w:hAnsi="Times New Roman Bold" w:cs="Times New Roman Bold"/>
          <w:b/>
          <w:bCs/>
        </w:rPr>
      </w:pPr>
      <m:oMathPara>
        <m:oMath>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c,r</m:t>
              </m:r>
            </m:sub>
            <m:sup/>
            <m:e>
              <m:sSub>
                <m:sSubPr>
                  <m:ctrlPr>
                    <w:rPr>
                      <w:rFonts w:ascii="Cambria Math" w:hAnsi="Cambria Math"/>
                    </w:rPr>
                  </m:ctrlPr>
                </m:sSubPr>
                <m:e>
                  <m:r>
                    <w:rPr>
                      <w:rFonts w:ascii="Times New Roman" w:eastAsia="Times New Roman" w:hAnsi="Times New Roman" w:cs="Times New Roman"/>
                      <w:szCs w:val="21"/>
                    </w:rPr>
                    <m:t>w</m:t>
                  </m:r>
                </m:e>
                <m:sub>
                  <m:r>
                    <w:rPr>
                      <w:rFonts w:ascii="Times New Roman" w:eastAsia="Times New Roman" w:hAnsi="Times New Roman" w:cs="Times New Roman"/>
                      <w:szCs w:val="21"/>
                    </w:rPr>
                    <m:t>c</m:t>
                  </m:r>
                </m:sub>
              </m:sSub>
            </m:e>
          </m:nary>
          <m:sSub>
            <m:sSubPr>
              <m:ctrlPr>
                <w:rPr>
                  <w:rFonts w:ascii="Cambria Math" w:hAnsi="Cambria Math"/>
                </w:rPr>
              </m:ctrlPr>
            </m:sSubPr>
            <m:e>
              <m:r>
                <w:rPr>
                  <w:rFonts w:ascii="Times New Roman" w:eastAsia="Times New Roman" w:hAnsi="Times New Roman" w:cs="Times New Roman"/>
                  <w:szCs w:val="21"/>
                </w:rPr>
                <m:t>x</m:t>
              </m:r>
            </m:e>
            <m:sub>
              <m:r>
                <w:rPr>
                  <w:rFonts w:ascii="Times New Roman" w:eastAsia="Times New Roman" w:hAnsi="Times New Roman" w:cs="Times New Roman"/>
                  <w:szCs w:val="21"/>
                </w:rPr>
                <m:t>i,c,r,t</m:t>
              </m:r>
            </m:sub>
          </m:sSub>
          <m:r>
            <w:rPr>
              <w:rFonts w:ascii="Times New Roman" w:eastAsia="Times New Roman" w:hAnsi="Times New Roman" w:cs="Times New Roman"/>
              <w:szCs w:val="21"/>
            </w:rPr>
            <m:t>≤</m:t>
          </m:r>
          <m:sSub>
            <m:sSubPr>
              <m:ctrlPr>
                <w:rPr>
                  <w:rFonts w:ascii="Cambria Math" w:hAnsi="Cambria Math"/>
                </w:rPr>
              </m:ctrlPr>
            </m:sSubPr>
            <m:e>
              <m:r>
                <w:rPr>
                  <w:rFonts w:ascii="Times New Roman" w:eastAsia="Times New Roman" w:hAnsi="Times New Roman" w:cs="Times New Roman"/>
                  <w:szCs w:val="21"/>
                </w:rPr>
                <m:t>C</m:t>
              </m:r>
            </m:e>
            <m:sub>
              <m:r>
                <w:rPr>
                  <w:rFonts w:ascii="Times New Roman" w:eastAsia="Times New Roman" w:hAnsi="Times New Roman" w:cs="Times New Roman"/>
                  <w:szCs w:val="21"/>
                </w:rPr>
                <m:t>i,t</m:t>
              </m:r>
            </m:sub>
          </m:sSub>
        </m:oMath>
      </m:oMathPara>
    </w:p>
    <w:p w14:paraId="0D269A68" w14:textId="77777777" w:rsidR="00E96B4B" w:rsidRDefault="00000000">
      <w:pPr>
        <w:jc w:val="center"/>
        <w:rPr>
          <w:rFonts w:ascii="Times New Roman Bold" w:hAnsi="Times New Roman Bold" w:cs="Times New Roman Bold"/>
          <w:b/>
          <w:bCs/>
        </w:rPr>
      </w:pPr>
      <m:oMathPara>
        <m:oMath>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c</m:t>
              </m:r>
            </m:sub>
            <m:sup/>
            <m:e>
              <m:sSub>
                <m:sSubPr>
                  <m:ctrlPr>
                    <w:rPr>
                      <w:rFonts w:ascii="Cambria Math" w:hAnsi="Cambria Math"/>
                    </w:rPr>
                  </m:ctrlPr>
                </m:sSubPr>
                <m:e>
                  <m:r>
                    <w:rPr>
                      <w:rFonts w:ascii="Times New Roman" w:eastAsia="Times New Roman" w:hAnsi="Times New Roman" w:cs="Times New Roman"/>
                      <w:szCs w:val="21"/>
                    </w:rPr>
                    <m:t>q</m:t>
                  </m:r>
                </m:e>
                <m:sub>
                  <m:r>
                    <w:rPr>
                      <w:rFonts w:ascii="Times New Roman" w:eastAsia="Times New Roman" w:hAnsi="Times New Roman" w:cs="Times New Roman"/>
                      <w:szCs w:val="21"/>
                    </w:rPr>
                    <m:t>i,c,t</m:t>
                  </m:r>
                </m:sub>
              </m:sSub>
            </m:e>
          </m:nary>
          <m:r>
            <w:rPr>
              <w:rFonts w:ascii="Times New Roman" w:eastAsia="Times New Roman" w:hAnsi="Times New Roman" w:cs="Times New Roman"/>
              <w:szCs w:val="21"/>
            </w:rPr>
            <m:t>≤</m:t>
          </m:r>
          <m:sSub>
            <m:sSubPr>
              <m:ctrlPr>
                <w:rPr>
                  <w:rFonts w:ascii="Cambria Math" w:hAnsi="Cambria Math"/>
                </w:rPr>
              </m:ctrlPr>
            </m:sSubPr>
            <m:e>
              <m:r>
                <w:rPr>
                  <w:rFonts w:ascii="Times New Roman" w:eastAsia="Times New Roman" w:hAnsi="Times New Roman" w:cs="Times New Roman"/>
                  <w:szCs w:val="21"/>
                </w:rPr>
                <m:t>R</m:t>
              </m:r>
            </m:e>
            <m:sub>
              <m:r>
                <w:rPr>
                  <w:rFonts w:ascii="Times New Roman" w:eastAsia="Times New Roman" w:hAnsi="Times New Roman" w:cs="Times New Roman"/>
                  <w:szCs w:val="21"/>
                </w:rPr>
                <m:t>i,t</m:t>
              </m:r>
            </m:sub>
          </m:sSub>
        </m:oMath>
      </m:oMathPara>
    </w:p>
    <w:p w14:paraId="1CFE49B8"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A minimum service target alpha (90% in the base scenario) is imposed for each region; nonnegative service-gap slack g prevents infeasibility and is penalized in the objective:</w:t>
      </w:r>
    </w:p>
    <w:p w14:paraId="625EEBB0" w14:textId="77777777" w:rsidR="00E96B4B" w:rsidRDefault="00000000">
      <w:pPr>
        <w:jc w:val="center"/>
        <w:rPr>
          <w:rFonts w:ascii="Times New Roman Bold" w:hAnsi="Times New Roman Bold" w:cs="Times New Roman Bold"/>
          <w:b/>
          <w:bCs/>
        </w:rPr>
      </w:pPr>
      <m:oMathPara>
        <m:oMath>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i,c</m:t>
              </m:r>
            </m:sub>
            <m:sup/>
            <m:e>
              <m:sSub>
                <m:sSubPr>
                  <m:ctrlPr>
                    <w:rPr>
                      <w:rFonts w:ascii="Cambria Math" w:hAnsi="Cambria Math"/>
                    </w:rPr>
                  </m:ctrlPr>
                </m:sSubPr>
                <m:e>
                  <m:r>
                    <w:rPr>
                      <w:rFonts w:ascii="Times New Roman" w:eastAsia="Times New Roman" w:hAnsi="Times New Roman" w:cs="Times New Roman"/>
                      <w:szCs w:val="21"/>
                    </w:rPr>
                    <m:t>x</m:t>
                  </m:r>
                </m:e>
                <m:sub>
                  <m:r>
                    <w:rPr>
                      <w:rFonts w:ascii="Times New Roman" w:eastAsia="Times New Roman" w:hAnsi="Times New Roman" w:cs="Times New Roman"/>
                      <w:szCs w:val="21"/>
                    </w:rPr>
                    <m:t>i,c,r,t</m:t>
                  </m:r>
                </m:sub>
              </m:sSub>
            </m:e>
          </m:nary>
          <m:r>
            <w:rPr>
              <w:rFonts w:ascii="Times New Roman" w:eastAsia="Times New Roman" w:hAnsi="Times New Roman" w:cs="Times New Roman"/>
              <w:szCs w:val="21"/>
            </w:rPr>
            <m:t>+</m:t>
          </m:r>
          <m:sSub>
            <m:sSubPr>
              <m:ctrlPr>
                <w:rPr>
                  <w:rFonts w:ascii="Cambria Math" w:hAnsi="Cambria Math"/>
                </w:rPr>
              </m:ctrlPr>
            </m:sSubPr>
            <m:e>
              <m:r>
                <w:rPr>
                  <w:rFonts w:ascii="Times New Roman" w:eastAsia="Times New Roman" w:hAnsi="Times New Roman" w:cs="Times New Roman"/>
                  <w:szCs w:val="21"/>
                </w:rPr>
                <m:t>g</m:t>
              </m:r>
            </m:e>
            <m:sub>
              <m:r>
                <w:rPr>
                  <w:rFonts w:ascii="Times New Roman" w:eastAsia="Times New Roman" w:hAnsi="Times New Roman" w:cs="Times New Roman"/>
                  <w:szCs w:val="21"/>
                </w:rPr>
                <m:t>r,t</m:t>
              </m:r>
            </m:sub>
          </m:sSub>
          <m:r>
            <w:rPr>
              <w:rFonts w:ascii="Times New Roman" w:eastAsia="Times New Roman" w:hAnsi="Times New Roman" w:cs="Times New Roman"/>
              <w:szCs w:val="21"/>
            </w:rPr>
            <m:t>≥α</m:t>
          </m:r>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c</m:t>
              </m:r>
            </m:sub>
            <m:sup/>
            <m:e>
              <m:sSub>
                <m:sSubPr>
                  <m:ctrlPr>
                    <w:rPr>
                      <w:rFonts w:ascii="Cambria Math" w:hAnsi="Cambria Math"/>
                    </w:rPr>
                  </m:ctrlPr>
                </m:sSubPr>
                <m:e>
                  <m:acc>
                    <m:accPr>
                      <m:chr m:val="̃"/>
                      <m:ctrlPr>
                        <w:rPr>
                          <w:rFonts w:ascii="Cambria Math" w:hAnsi="Cambria Math"/>
                        </w:rPr>
                      </m:ctrlPr>
                    </m:accPr>
                    <m:e>
                      <m:r>
                        <w:rPr>
                          <w:rFonts w:ascii="Times New Roman" w:eastAsia="Times New Roman" w:hAnsi="Times New Roman" w:cs="Times New Roman"/>
                          <w:szCs w:val="21"/>
                        </w:rPr>
                        <m:t>D</m:t>
                      </m:r>
                    </m:e>
                  </m:acc>
                </m:e>
                <m:sub>
                  <m:r>
                    <w:rPr>
                      <w:rFonts w:ascii="Times New Roman" w:eastAsia="Times New Roman" w:hAnsi="Times New Roman" w:cs="Times New Roman"/>
                      <w:szCs w:val="21"/>
                    </w:rPr>
                    <m:t>c,r,t</m:t>
                  </m:r>
                </m:sub>
              </m:sSub>
            </m:e>
          </m:nary>
        </m:oMath>
      </m:oMathPara>
    </w:p>
    <w:p w14:paraId="6E84A297"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8.2 Stage B: realized fulfillment allocation</w:t>
      </w:r>
    </w:p>
    <w:p w14:paraId="715E6B05"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 xml:space="preserve">After actual demand is revealed, y allocates available inventory and v records unmet or delayed demand. The risk-adjusted route cost includes observed median freight, predicted late-delivery </w:t>
      </w:r>
      <w:r>
        <w:rPr>
          <w:rFonts w:ascii="Times New Roman" w:eastAsia="Times New Roman" w:hAnsi="Times New Roman" w:cs="Times New Roman"/>
          <w:szCs w:val="21"/>
        </w:rPr>
        <w:lastRenderedPageBreak/>
        <w:t>exposure, and seller-risk exposure; no separate handling-cost term is introduced because Olist does not observe it.</w:t>
      </w:r>
    </w:p>
    <w:p w14:paraId="4E3C9BDF" w14:textId="77777777" w:rsidR="00E96B4B" w:rsidRDefault="00000000">
      <w:pPr>
        <w:jc w:val="center"/>
        <w:rPr>
          <w:rFonts w:ascii="Times New Roman Bold" w:hAnsi="Times New Roman Bold" w:cs="Times New Roman Bold"/>
          <w:b/>
          <w:bCs/>
        </w:rPr>
      </w:pPr>
      <m:oMathPara>
        <m:oMath>
          <m:r>
            <m:rPr>
              <m:sty m:val="p"/>
            </m:rPr>
            <w:rPr>
              <w:rFonts w:ascii="Times New Roman" w:eastAsia="Times New Roman" w:hAnsi="Times New Roman" w:cs="Times New Roman"/>
              <w:szCs w:val="21"/>
            </w:rPr>
            <m:t>min</m:t>
          </m:r>
          <m:sSub>
            <m:sSubPr>
              <m:ctrlPr>
                <w:rPr>
                  <w:rFonts w:ascii="Cambria Math" w:hAnsi="Cambria Math"/>
                </w:rPr>
              </m:ctrlPr>
            </m:sSubPr>
            <m:e>
              <m:r>
                <w:rPr>
                  <w:rFonts w:ascii="Times New Roman" w:eastAsia="Times New Roman" w:hAnsi="Times New Roman" w:cs="Times New Roman"/>
                  <w:szCs w:val="21"/>
                </w:rPr>
                <m:t>Z</m:t>
              </m:r>
            </m:e>
            <m:sub>
              <m:r>
                <w:rPr>
                  <w:rFonts w:ascii="Times New Roman" w:eastAsia="Times New Roman" w:hAnsi="Times New Roman" w:cs="Times New Roman"/>
                  <w:szCs w:val="21"/>
                </w:rPr>
                <m:t>B</m:t>
              </m:r>
            </m:sub>
          </m:sSub>
          <m:r>
            <w:rPr>
              <w:rFonts w:ascii="Times New Roman" w:eastAsia="Times New Roman" w:hAnsi="Times New Roman" w:cs="Times New Roman"/>
              <w:szCs w:val="21"/>
            </w:rPr>
            <m:t>=</m:t>
          </m:r>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i,c,r</m:t>
              </m:r>
            </m:sub>
            <m:sup/>
            <m:e>
              <m:sSub>
                <m:sSubPr>
                  <m:ctrlPr>
                    <w:rPr>
                      <w:rFonts w:ascii="Cambria Math" w:hAnsi="Cambria Math"/>
                    </w:rPr>
                  </m:ctrlPr>
                </m:sSubPr>
                <m:e>
                  <m:acc>
                    <m:accPr>
                      <m:chr m:val="̅"/>
                      <m:ctrlPr>
                        <w:rPr>
                          <w:rFonts w:ascii="Cambria Math" w:hAnsi="Cambria Math"/>
                        </w:rPr>
                      </m:ctrlPr>
                    </m:accPr>
                    <m:e>
                      <m:r>
                        <w:rPr>
                          <w:rFonts w:ascii="Times New Roman" w:eastAsia="Times New Roman" w:hAnsi="Times New Roman" w:cs="Times New Roman"/>
                          <w:szCs w:val="21"/>
                        </w:rPr>
                        <m:t>c</m:t>
                      </m:r>
                    </m:e>
                  </m:acc>
                </m:e>
                <m:sub>
                  <m:r>
                    <w:rPr>
                      <w:rFonts w:ascii="Times New Roman" w:eastAsia="Times New Roman" w:hAnsi="Times New Roman" w:cs="Times New Roman"/>
                      <w:szCs w:val="21"/>
                    </w:rPr>
                    <m:t>i,c,r,t</m:t>
                  </m:r>
                </m:sub>
              </m:sSub>
            </m:e>
          </m:nary>
          <m:sSub>
            <m:sSubPr>
              <m:ctrlPr>
                <w:rPr>
                  <w:rFonts w:ascii="Cambria Math" w:hAnsi="Cambria Math"/>
                </w:rPr>
              </m:ctrlPr>
            </m:sSubPr>
            <m:e>
              <m:r>
                <w:rPr>
                  <w:rFonts w:ascii="Times New Roman" w:eastAsia="Times New Roman" w:hAnsi="Times New Roman" w:cs="Times New Roman"/>
                  <w:szCs w:val="21"/>
                </w:rPr>
                <m:t>y</m:t>
              </m:r>
            </m:e>
            <m:sub>
              <m:r>
                <w:rPr>
                  <w:rFonts w:ascii="Times New Roman" w:eastAsia="Times New Roman" w:hAnsi="Times New Roman" w:cs="Times New Roman"/>
                  <w:szCs w:val="21"/>
                </w:rPr>
                <m:t>i,c,r,t</m:t>
              </m:r>
            </m:sub>
          </m:sSub>
          <m:r>
            <w:rPr>
              <w:rFonts w:ascii="Times New Roman" w:eastAsia="Times New Roman" w:hAnsi="Times New Roman" w:cs="Times New Roman"/>
              <w:szCs w:val="21"/>
            </w:rPr>
            <m:t>+</m:t>
          </m:r>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c,r</m:t>
              </m:r>
            </m:sub>
            <m:sup/>
            <m:e>
              <m:sSub>
                <m:sSubPr>
                  <m:ctrlPr>
                    <w:rPr>
                      <w:rFonts w:ascii="Cambria Math" w:hAnsi="Cambria Math"/>
                    </w:rPr>
                  </m:ctrlPr>
                </m:sSubPr>
                <m:e>
                  <m:r>
                    <w:rPr>
                      <w:rFonts w:ascii="Times New Roman" w:eastAsia="Times New Roman" w:hAnsi="Times New Roman" w:cs="Times New Roman"/>
                      <w:szCs w:val="21"/>
                    </w:rPr>
                    <m:t>π</m:t>
                  </m:r>
                </m:e>
                <m:sub>
                  <m:r>
                    <w:rPr>
                      <w:rFonts w:ascii="Times New Roman" w:eastAsia="Times New Roman" w:hAnsi="Times New Roman" w:cs="Times New Roman"/>
                      <w:szCs w:val="21"/>
                    </w:rPr>
                    <m:t>c</m:t>
                  </m:r>
                </m:sub>
              </m:sSub>
            </m:e>
          </m:nary>
          <m:sSub>
            <m:sSubPr>
              <m:ctrlPr>
                <w:rPr>
                  <w:rFonts w:ascii="Cambria Math" w:hAnsi="Cambria Math"/>
                </w:rPr>
              </m:ctrlPr>
            </m:sSubPr>
            <m:e>
              <m:r>
                <w:rPr>
                  <w:rFonts w:ascii="Times New Roman" w:eastAsia="Times New Roman" w:hAnsi="Times New Roman" w:cs="Times New Roman"/>
                  <w:szCs w:val="21"/>
                </w:rPr>
                <m:t>v</m:t>
              </m:r>
            </m:e>
            <m:sub>
              <m:r>
                <w:rPr>
                  <w:rFonts w:ascii="Times New Roman" w:eastAsia="Times New Roman" w:hAnsi="Times New Roman" w:cs="Times New Roman"/>
                  <w:szCs w:val="21"/>
                </w:rPr>
                <m:t>c,r,t</m:t>
              </m:r>
            </m:sub>
          </m:sSub>
        </m:oMath>
      </m:oMathPara>
    </w:p>
    <w:p w14:paraId="06349A00" w14:textId="77777777" w:rsidR="00E96B4B" w:rsidRDefault="00000000">
      <w:pPr>
        <w:jc w:val="center"/>
        <w:rPr>
          <w:rFonts w:ascii="Times New Roman Bold" w:hAnsi="Times New Roman Bold" w:cs="Times New Roman Bold"/>
          <w:b/>
          <w:bCs/>
        </w:rPr>
      </w:pPr>
      <m:oMathPara>
        <m:oMath>
          <m:sSub>
            <m:sSubPr>
              <m:ctrlPr>
                <w:rPr>
                  <w:rFonts w:ascii="Cambria Math" w:hAnsi="Cambria Math"/>
                </w:rPr>
              </m:ctrlPr>
            </m:sSubPr>
            <m:e>
              <m:acc>
                <m:accPr>
                  <m:chr m:val="̅"/>
                  <m:ctrlPr>
                    <w:rPr>
                      <w:rFonts w:ascii="Cambria Math" w:hAnsi="Cambria Math"/>
                    </w:rPr>
                  </m:ctrlPr>
                </m:accPr>
                <m:e>
                  <m:r>
                    <w:rPr>
                      <w:rFonts w:ascii="Times New Roman" w:eastAsia="Times New Roman" w:hAnsi="Times New Roman" w:cs="Times New Roman"/>
                      <w:szCs w:val="21"/>
                    </w:rPr>
                    <m:t>c</m:t>
                  </m:r>
                </m:e>
              </m:acc>
            </m:e>
            <m:sub>
              <m:r>
                <w:rPr>
                  <w:rFonts w:ascii="Times New Roman" w:eastAsia="Times New Roman" w:hAnsi="Times New Roman" w:cs="Times New Roman"/>
                  <w:szCs w:val="21"/>
                </w:rPr>
                <m:t>i,c,r,t</m:t>
              </m:r>
            </m:sub>
          </m:sSub>
          <m:r>
            <w:rPr>
              <w:rFonts w:ascii="Times New Roman" w:eastAsia="Times New Roman" w:hAnsi="Times New Roman" w:cs="Times New Roman"/>
              <w:szCs w:val="21"/>
            </w:rPr>
            <m:t>=</m:t>
          </m:r>
          <m:sSub>
            <m:sSubPr>
              <m:ctrlPr>
                <w:rPr>
                  <w:rFonts w:ascii="Cambria Math" w:hAnsi="Cambria Math"/>
                </w:rPr>
              </m:ctrlPr>
            </m:sSubPr>
            <m:e>
              <m:r>
                <w:rPr>
                  <w:rFonts w:ascii="Times New Roman" w:eastAsia="Times New Roman" w:hAnsi="Times New Roman" w:cs="Times New Roman"/>
                  <w:szCs w:val="21"/>
                </w:rPr>
                <m:t>c</m:t>
              </m:r>
            </m:e>
            <m:sub>
              <m:r>
                <m:rPr>
                  <m:sty m:val="p"/>
                </m:rPr>
                <w:rPr>
                  <w:rFonts w:ascii="Times New Roman" w:eastAsia="Times New Roman" w:hAnsi="Times New Roman" w:cs="Times New Roman"/>
                  <w:szCs w:val="21"/>
                </w:rPr>
                <m:t>ship</m:t>
              </m:r>
            </m:sub>
          </m:sSub>
          <m:r>
            <w:rPr>
              <w:rFonts w:ascii="Times New Roman" w:eastAsia="Times New Roman" w:hAnsi="Times New Roman" w:cs="Times New Roman"/>
              <w:szCs w:val="21"/>
            </w:rPr>
            <m:t>+</m:t>
          </m:r>
          <m:sSub>
            <m:sSubPr>
              <m:ctrlPr>
                <w:rPr>
                  <w:rFonts w:ascii="Cambria Math" w:hAnsi="Cambria Math"/>
                </w:rPr>
              </m:ctrlPr>
            </m:sSubPr>
            <m:e>
              <m:r>
                <w:rPr>
                  <w:rFonts w:ascii="Times New Roman" w:eastAsia="Times New Roman" w:hAnsi="Times New Roman" w:cs="Times New Roman"/>
                  <w:szCs w:val="21"/>
                </w:rPr>
                <m:t>λ</m:t>
              </m:r>
            </m:e>
            <m:sub>
              <m:r>
                <m:rPr>
                  <m:sty m:val="p"/>
                </m:rPr>
                <w:rPr>
                  <w:rFonts w:ascii="Times New Roman" w:eastAsia="Times New Roman" w:hAnsi="Times New Roman" w:cs="Times New Roman"/>
                  <w:szCs w:val="21"/>
                </w:rPr>
                <m:t>late</m:t>
              </m:r>
            </m:sub>
          </m:sSub>
          <m:sSub>
            <m:sSubPr>
              <m:ctrlPr>
                <w:rPr>
                  <w:rFonts w:ascii="Cambria Math" w:hAnsi="Cambria Math"/>
                </w:rPr>
              </m:ctrlPr>
            </m:sSubPr>
            <m:e>
              <m:r>
                <w:rPr>
                  <w:rFonts w:ascii="Times New Roman" w:eastAsia="Times New Roman" w:hAnsi="Times New Roman" w:cs="Times New Roman"/>
                  <w:szCs w:val="21"/>
                </w:rPr>
                <m:t>p</m:t>
              </m:r>
            </m:e>
            <m:sub>
              <m:r>
                <m:rPr>
                  <m:sty m:val="p"/>
                </m:rPr>
                <w:rPr>
                  <w:rFonts w:ascii="Times New Roman" w:eastAsia="Times New Roman" w:hAnsi="Times New Roman" w:cs="Times New Roman"/>
                  <w:szCs w:val="21"/>
                </w:rPr>
                <m:t>late</m:t>
              </m:r>
            </m:sub>
          </m:sSub>
          <m:r>
            <w:rPr>
              <w:rFonts w:ascii="Times New Roman" w:eastAsia="Times New Roman" w:hAnsi="Times New Roman" w:cs="Times New Roman"/>
              <w:szCs w:val="21"/>
            </w:rPr>
            <m:t>+</m:t>
          </m:r>
          <m:sSub>
            <m:sSubPr>
              <m:ctrlPr>
                <w:rPr>
                  <w:rFonts w:ascii="Cambria Math" w:hAnsi="Cambria Math"/>
                </w:rPr>
              </m:ctrlPr>
            </m:sSubPr>
            <m:e>
              <m:r>
                <w:rPr>
                  <w:rFonts w:ascii="Times New Roman" w:eastAsia="Times New Roman" w:hAnsi="Times New Roman" w:cs="Times New Roman"/>
                  <w:szCs w:val="21"/>
                </w:rPr>
                <m:t>λ</m:t>
              </m:r>
            </m:e>
            <m:sub>
              <m:r>
                <m:rPr>
                  <m:sty m:val="p"/>
                </m:rPr>
                <w:rPr>
                  <w:rFonts w:ascii="Times New Roman" w:eastAsia="Times New Roman" w:hAnsi="Times New Roman" w:cs="Times New Roman"/>
                  <w:szCs w:val="21"/>
                </w:rPr>
                <m:t>seller</m:t>
              </m:r>
            </m:sub>
          </m:sSub>
          <m:r>
            <w:rPr>
              <w:rFonts w:ascii="Times New Roman" w:eastAsia="Times New Roman" w:hAnsi="Times New Roman" w:cs="Times New Roman"/>
              <w:szCs w:val="21"/>
            </w:rPr>
            <m:t>ρ</m:t>
          </m:r>
        </m:oMath>
      </m:oMathPara>
    </w:p>
    <w:p w14:paraId="2B049944"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Realized demand, available inventory, and throughput are enforced by:</w:t>
      </w:r>
    </w:p>
    <w:p w14:paraId="6A788012" w14:textId="77777777" w:rsidR="00E96B4B" w:rsidRDefault="00000000">
      <w:pPr>
        <w:jc w:val="center"/>
        <w:rPr>
          <w:rFonts w:ascii="Times New Roman Bold" w:hAnsi="Times New Roman Bold" w:cs="Times New Roman Bold"/>
          <w:b/>
          <w:bCs/>
        </w:rPr>
      </w:pPr>
      <m:oMathPara>
        <m:oMath>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i</m:t>
              </m:r>
            </m:sub>
            <m:sup/>
            <m:e>
              <m:sSub>
                <m:sSubPr>
                  <m:ctrlPr>
                    <w:rPr>
                      <w:rFonts w:ascii="Cambria Math" w:hAnsi="Cambria Math"/>
                    </w:rPr>
                  </m:ctrlPr>
                </m:sSubPr>
                <m:e>
                  <m:r>
                    <w:rPr>
                      <w:rFonts w:ascii="Times New Roman" w:eastAsia="Times New Roman" w:hAnsi="Times New Roman" w:cs="Times New Roman"/>
                      <w:szCs w:val="21"/>
                    </w:rPr>
                    <m:t>y</m:t>
                  </m:r>
                </m:e>
                <m:sub>
                  <m:r>
                    <w:rPr>
                      <w:rFonts w:ascii="Times New Roman" w:eastAsia="Times New Roman" w:hAnsi="Times New Roman" w:cs="Times New Roman"/>
                      <w:szCs w:val="21"/>
                    </w:rPr>
                    <m:t>i,c,r,t</m:t>
                  </m:r>
                </m:sub>
              </m:sSub>
            </m:e>
          </m:nary>
          <m:r>
            <w:rPr>
              <w:rFonts w:ascii="Times New Roman" w:eastAsia="Times New Roman" w:hAnsi="Times New Roman" w:cs="Times New Roman"/>
              <w:szCs w:val="21"/>
            </w:rPr>
            <m:t>+</m:t>
          </m:r>
          <m:sSub>
            <m:sSubPr>
              <m:ctrlPr>
                <w:rPr>
                  <w:rFonts w:ascii="Cambria Math" w:hAnsi="Cambria Math"/>
                </w:rPr>
              </m:ctrlPr>
            </m:sSubPr>
            <m:e>
              <m:r>
                <w:rPr>
                  <w:rFonts w:ascii="Times New Roman" w:eastAsia="Times New Roman" w:hAnsi="Times New Roman" w:cs="Times New Roman"/>
                  <w:szCs w:val="21"/>
                </w:rPr>
                <m:t>v</m:t>
              </m:r>
            </m:e>
            <m:sub>
              <m:r>
                <w:rPr>
                  <w:rFonts w:ascii="Times New Roman" w:eastAsia="Times New Roman" w:hAnsi="Times New Roman" w:cs="Times New Roman"/>
                  <w:szCs w:val="21"/>
                </w:rPr>
                <m:t>c,r,t</m:t>
              </m:r>
            </m:sub>
          </m:sSub>
          <m:r>
            <w:rPr>
              <w:rFonts w:ascii="Times New Roman" w:eastAsia="Times New Roman" w:hAnsi="Times New Roman" w:cs="Times New Roman"/>
              <w:szCs w:val="21"/>
            </w:rPr>
            <m:t>=</m:t>
          </m:r>
          <m:sSub>
            <m:sSubPr>
              <m:ctrlPr>
                <w:rPr>
                  <w:rFonts w:ascii="Cambria Math" w:hAnsi="Cambria Math"/>
                </w:rPr>
              </m:ctrlPr>
            </m:sSubPr>
            <m:e>
              <m:r>
                <w:rPr>
                  <w:rFonts w:ascii="Times New Roman" w:eastAsia="Times New Roman" w:hAnsi="Times New Roman" w:cs="Times New Roman"/>
                  <w:szCs w:val="21"/>
                </w:rPr>
                <m:t>D</m:t>
              </m:r>
            </m:e>
            <m:sub>
              <m:r>
                <w:rPr>
                  <w:rFonts w:ascii="Times New Roman" w:eastAsia="Times New Roman" w:hAnsi="Times New Roman" w:cs="Times New Roman"/>
                  <w:szCs w:val="21"/>
                </w:rPr>
                <m:t>c,r,t</m:t>
              </m:r>
            </m:sub>
          </m:sSub>
        </m:oMath>
      </m:oMathPara>
    </w:p>
    <w:p w14:paraId="2BD61F7D" w14:textId="77777777" w:rsidR="00E96B4B" w:rsidRDefault="00000000">
      <w:pPr>
        <w:jc w:val="center"/>
        <w:rPr>
          <w:rFonts w:ascii="Times New Roman Bold" w:hAnsi="Times New Roman Bold" w:cs="Times New Roman Bold"/>
          <w:b/>
          <w:bCs/>
        </w:rPr>
      </w:pPr>
      <m:oMathPara>
        <m:oMath>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r</m:t>
              </m:r>
            </m:sub>
            <m:sup/>
            <m:e>
              <m:sSub>
                <m:sSubPr>
                  <m:ctrlPr>
                    <w:rPr>
                      <w:rFonts w:ascii="Cambria Math" w:hAnsi="Cambria Math"/>
                    </w:rPr>
                  </m:ctrlPr>
                </m:sSubPr>
                <m:e>
                  <m:r>
                    <w:rPr>
                      <w:rFonts w:ascii="Times New Roman" w:eastAsia="Times New Roman" w:hAnsi="Times New Roman" w:cs="Times New Roman"/>
                      <w:szCs w:val="21"/>
                    </w:rPr>
                    <m:t>y</m:t>
                  </m:r>
                </m:e>
                <m:sub>
                  <m:r>
                    <w:rPr>
                      <w:rFonts w:ascii="Times New Roman" w:eastAsia="Times New Roman" w:hAnsi="Times New Roman" w:cs="Times New Roman"/>
                      <w:szCs w:val="21"/>
                    </w:rPr>
                    <m:t>i,c,r,t</m:t>
                  </m:r>
                </m:sub>
              </m:sSub>
            </m:e>
          </m:nary>
          <m:r>
            <w:rPr>
              <w:rFonts w:ascii="Times New Roman" w:eastAsia="Times New Roman" w:hAnsi="Times New Roman" w:cs="Times New Roman"/>
              <w:szCs w:val="21"/>
            </w:rPr>
            <m:t>≤</m:t>
          </m:r>
          <m:sSub>
            <m:sSubPr>
              <m:ctrlPr>
                <w:rPr>
                  <w:rFonts w:ascii="Cambria Math" w:hAnsi="Cambria Math"/>
                </w:rPr>
              </m:ctrlPr>
            </m:sSubPr>
            <m:e>
              <m:r>
                <w:rPr>
                  <w:rFonts w:ascii="Times New Roman" w:eastAsia="Times New Roman" w:hAnsi="Times New Roman" w:cs="Times New Roman"/>
                  <w:szCs w:val="21"/>
                </w:rPr>
                <m:t>A</m:t>
              </m:r>
            </m:e>
            <m:sub>
              <m:r>
                <w:rPr>
                  <w:rFonts w:ascii="Times New Roman" w:eastAsia="Times New Roman" w:hAnsi="Times New Roman" w:cs="Times New Roman"/>
                  <w:szCs w:val="21"/>
                </w:rPr>
                <m:t>i,c,t</m:t>
              </m:r>
            </m:sub>
          </m:sSub>
          <m:r>
            <w:rPr>
              <w:rFonts w:ascii="Times New Roman" w:eastAsia="Times New Roman" w:hAnsi="Times New Roman" w:cs="Times New Roman"/>
              <w:szCs w:val="21"/>
            </w:rPr>
            <m:t>,</m:t>
          </m:r>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c,r</m:t>
              </m:r>
            </m:sub>
            <m:sup/>
            <m:e>
              <m:sSub>
                <m:sSubPr>
                  <m:ctrlPr>
                    <w:rPr>
                      <w:rFonts w:ascii="Cambria Math" w:hAnsi="Cambria Math"/>
                    </w:rPr>
                  </m:ctrlPr>
                </m:sSubPr>
                <m:e>
                  <m:r>
                    <w:rPr>
                      <w:rFonts w:ascii="Times New Roman" w:eastAsia="Times New Roman" w:hAnsi="Times New Roman" w:cs="Times New Roman"/>
                      <w:szCs w:val="21"/>
                    </w:rPr>
                    <m:t>w</m:t>
                  </m:r>
                </m:e>
                <m:sub>
                  <m:r>
                    <w:rPr>
                      <w:rFonts w:ascii="Times New Roman" w:eastAsia="Times New Roman" w:hAnsi="Times New Roman" w:cs="Times New Roman"/>
                      <w:szCs w:val="21"/>
                    </w:rPr>
                    <m:t>c</m:t>
                  </m:r>
                </m:sub>
              </m:sSub>
            </m:e>
          </m:nary>
          <m:sSub>
            <m:sSubPr>
              <m:ctrlPr>
                <w:rPr>
                  <w:rFonts w:ascii="Cambria Math" w:hAnsi="Cambria Math"/>
                </w:rPr>
              </m:ctrlPr>
            </m:sSubPr>
            <m:e>
              <m:r>
                <w:rPr>
                  <w:rFonts w:ascii="Times New Roman" w:eastAsia="Times New Roman" w:hAnsi="Times New Roman" w:cs="Times New Roman"/>
                  <w:szCs w:val="21"/>
                </w:rPr>
                <m:t>y</m:t>
              </m:r>
            </m:e>
            <m:sub>
              <m:r>
                <w:rPr>
                  <w:rFonts w:ascii="Times New Roman" w:eastAsia="Times New Roman" w:hAnsi="Times New Roman" w:cs="Times New Roman"/>
                  <w:szCs w:val="21"/>
                </w:rPr>
                <m:t>i,c,r,t</m:t>
              </m:r>
            </m:sub>
          </m:sSub>
          <m:r>
            <w:rPr>
              <w:rFonts w:ascii="Times New Roman" w:eastAsia="Times New Roman" w:hAnsi="Times New Roman" w:cs="Times New Roman"/>
              <w:szCs w:val="21"/>
            </w:rPr>
            <m:t>≤</m:t>
          </m:r>
          <m:sSub>
            <m:sSubPr>
              <m:ctrlPr>
                <w:rPr>
                  <w:rFonts w:ascii="Cambria Math" w:hAnsi="Cambria Math"/>
                </w:rPr>
              </m:ctrlPr>
            </m:sSubPr>
            <m:e>
              <m:r>
                <w:rPr>
                  <w:rFonts w:ascii="Times New Roman" w:eastAsia="Times New Roman" w:hAnsi="Times New Roman" w:cs="Times New Roman"/>
                  <w:szCs w:val="21"/>
                </w:rPr>
                <m:t>C</m:t>
              </m:r>
            </m:e>
            <m:sub>
              <m:r>
                <w:rPr>
                  <w:rFonts w:ascii="Times New Roman" w:eastAsia="Times New Roman" w:hAnsi="Times New Roman" w:cs="Times New Roman"/>
                  <w:szCs w:val="21"/>
                </w:rPr>
                <m:t>i,t</m:t>
              </m:r>
            </m:sub>
          </m:sSub>
        </m:oMath>
      </m:oMathPara>
    </w:p>
    <w:p w14:paraId="5082B5EE"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All decision quantities are nonnegative; integer restrictions will be used for unit flows when solution time permits. In the rolling-horizon implementation, only the first replenishment action is applied, inventory is updated, and the next forecast is re-estimated from past data.</w:t>
      </w:r>
    </w:p>
    <w:p w14:paraId="418A5C27" w14:textId="77777777" w:rsidR="00E96B4B" w:rsidRDefault="00E96B4B">
      <w:pPr>
        <w:rPr>
          <w:rFonts w:ascii="Times New Roman Regular" w:hAnsi="Times New Roman Regular" w:cs="Times New Roman Regular"/>
        </w:rPr>
      </w:pPr>
    </w:p>
    <w:p w14:paraId="73FE2532"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9. Benchmark and Evaluation Design</w:t>
      </w:r>
    </w:p>
    <w:p w14:paraId="77E5F7FB"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Three policies will be evaluated under identical network, cost, capacity, and service assumptions: (1) last-week demand plus OR; (2) four-week moving-average demand plus OR; and (3) pooled Ridge demand plus uncertainty adjustment and OR. A 13-week rolling historical backtest is planned. This design isolates the value of the forecasting input without changing the optimization environment between policies.</w:t>
      </w:r>
    </w:p>
    <w:p w14:paraId="4C674BF3"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The main service metric is fill rate:</w:t>
      </w:r>
    </w:p>
    <w:p w14:paraId="31D9752E" w14:textId="77777777" w:rsidR="00E96B4B" w:rsidRDefault="00000000">
      <w:pPr>
        <w:jc w:val="center"/>
        <w:rPr>
          <w:rFonts w:ascii="Times New Roman Bold" w:hAnsi="Times New Roman Bold" w:cs="Times New Roman Bold"/>
          <w:b/>
          <w:bCs/>
        </w:rPr>
      </w:pPr>
      <m:oMathPara>
        <m:oMath>
          <m:r>
            <m:rPr>
              <m:sty m:val="p"/>
            </m:rPr>
            <w:rPr>
              <w:rFonts w:ascii="Times New Roman" w:eastAsia="Times New Roman" w:hAnsi="Times New Roman" w:cs="Times New Roman"/>
              <w:szCs w:val="21"/>
            </w:rPr>
            <m:t>FillRate</m:t>
          </m:r>
          <m:r>
            <w:rPr>
              <w:rFonts w:ascii="Times New Roman" w:eastAsia="Times New Roman" w:hAnsi="Times New Roman" w:cs="Times New Roman"/>
              <w:szCs w:val="21"/>
            </w:rPr>
            <m:t>=1-</m:t>
          </m:r>
          <m:f>
            <m:fPr>
              <m:ctrlPr>
                <w:rPr>
                  <w:rFonts w:ascii="Cambria Math" w:hAnsi="Cambria Math"/>
                </w:rPr>
              </m:ctrlPr>
            </m:fPr>
            <m:num>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c,r,t</m:t>
                  </m:r>
                </m:sub>
                <m:sup/>
                <m:e>
                  <m:sSub>
                    <m:sSubPr>
                      <m:ctrlPr>
                        <w:rPr>
                          <w:rFonts w:ascii="Cambria Math" w:hAnsi="Cambria Math"/>
                        </w:rPr>
                      </m:ctrlPr>
                    </m:sSubPr>
                    <m:e>
                      <m:r>
                        <w:rPr>
                          <w:rFonts w:ascii="Times New Roman" w:eastAsia="Times New Roman" w:hAnsi="Times New Roman" w:cs="Times New Roman"/>
                          <w:szCs w:val="21"/>
                        </w:rPr>
                        <m:t>v</m:t>
                      </m:r>
                    </m:e>
                    <m:sub>
                      <m:r>
                        <w:rPr>
                          <w:rFonts w:ascii="Times New Roman" w:eastAsia="Times New Roman" w:hAnsi="Times New Roman" w:cs="Times New Roman"/>
                          <w:szCs w:val="21"/>
                        </w:rPr>
                        <m:t>c,r,t</m:t>
                      </m:r>
                    </m:sub>
                  </m:sSub>
                </m:e>
              </m:nary>
            </m:num>
            <m:den>
              <m:nary>
                <m:naryPr>
                  <m:chr m:val="∑"/>
                  <m:limLoc m:val="undOvr"/>
                  <m:grow m:val="1"/>
                  <m:supHide m:val="1"/>
                  <m:ctrlPr>
                    <w:rPr>
                      <w:rFonts w:ascii="Cambria Math" w:hAnsi="Cambria Math"/>
                    </w:rPr>
                  </m:ctrlPr>
                </m:naryPr>
                <m:sub>
                  <m:r>
                    <w:rPr>
                      <w:rFonts w:ascii="Times New Roman" w:eastAsia="Times New Roman" w:hAnsi="Times New Roman" w:cs="Times New Roman"/>
                      <w:szCs w:val="21"/>
                    </w:rPr>
                    <m:t>c,r,t</m:t>
                  </m:r>
                </m:sub>
                <m:sup/>
                <m:e>
                  <m:sSub>
                    <m:sSubPr>
                      <m:ctrlPr>
                        <w:rPr>
                          <w:rFonts w:ascii="Cambria Math" w:hAnsi="Cambria Math"/>
                        </w:rPr>
                      </m:ctrlPr>
                    </m:sSubPr>
                    <m:e>
                      <m:r>
                        <w:rPr>
                          <w:rFonts w:ascii="Times New Roman" w:eastAsia="Times New Roman" w:hAnsi="Times New Roman" w:cs="Times New Roman"/>
                          <w:szCs w:val="21"/>
                        </w:rPr>
                        <m:t>D</m:t>
                      </m:r>
                    </m:e>
                    <m:sub>
                      <m:r>
                        <w:rPr>
                          <w:rFonts w:ascii="Times New Roman" w:eastAsia="Times New Roman" w:hAnsi="Times New Roman" w:cs="Times New Roman"/>
                          <w:szCs w:val="21"/>
                        </w:rPr>
                        <m:t>c,r,t</m:t>
                      </m:r>
                    </m:sub>
                  </m:sSub>
                </m:e>
              </m:nary>
            </m:den>
          </m:f>
        </m:oMath>
      </m:oMathPara>
    </w:p>
    <w:p w14:paraId="7E713F9F"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Forecast metrics will include WAPE, MAE, and bias. Operational metrics will include total cost and its procurement, freight/risk, holding, shortage, and service-gap components; fill rate; shortage units; ending inventory; regional service performance; late-risk exposure; solver status; and solution time. Sensitivity tests will vary the safety multiplier, service target, capacity, lead time, shortage penalty, and risk weights.</w:t>
      </w:r>
    </w:p>
    <w:p w14:paraId="59A2B5C4" w14:textId="77777777" w:rsidR="00E96B4B" w:rsidRDefault="00E96B4B">
      <w:pPr>
        <w:rPr>
          <w:rFonts w:ascii="Times New Roman Regular" w:hAnsi="Times New Roman Regular" w:cs="Times New Roman Regular"/>
        </w:rPr>
      </w:pPr>
    </w:p>
    <w:p w14:paraId="5223F58C" w14:textId="77777777" w:rsidR="00E96B4B" w:rsidRDefault="00000000">
      <w:pPr>
        <w:rPr>
          <w:rFonts w:ascii="Times New Roman Bold" w:hAnsi="Times New Roman Bold" w:cs="Times New Roman Bold"/>
          <w:b/>
          <w:bCs/>
        </w:rPr>
      </w:pPr>
      <w:r>
        <w:rPr>
          <w:rFonts w:ascii="Times New Roman" w:eastAsia="Times New Roman" w:hAnsi="Times New Roman" w:cs="Times New Roman"/>
          <w:b/>
          <w:szCs w:val="21"/>
        </w:rPr>
        <w:t>10. Preliminary Data Model and Expected Outputs</w:t>
      </w:r>
    </w:p>
    <w:p w14:paraId="488FD16D"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The project is expected to produce the following auditable data products:</w:t>
      </w:r>
    </w:p>
    <w:p w14:paraId="50622D12" w14:textId="77777777" w:rsidR="00E96B4B" w:rsidRDefault="00E96B4B">
      <w:pPr>
        <w:rPr>
          <w:rFonts w:ascii="Times New Roman Regular" w:hAnsi="Times New Roman Regular" w:cs="Times New Roman Regular"/>
        </w:rPr>
      </w:pPr>
      <w:r>
        <w:rPr>
          <w:rFonts w:ascii="Times New Roman" w:eastAsia="Times New Roman" w:hAnsi="Times New Roman" w:cs="Times New Roman"/>
          <w:szCs w:val="21"/>
        </w:rPr>
        <w:t>A cleaned order-item table with purchase week, product category, customer region, seller origin, price, freight, weight, and delivery-risk indicators.</w:t>
      </w:r>
    </w:p>
    <w:p w14:paraId="6167E9A6" w14:textId="77777777" w:rsidR="00E96B4B" w:rsidRDefault="00E96B4B">
      <w:pPr>
        <w:rPr>
          <w:rFonts w:ascii="Times New Roman Regular" w:hAnsi="Times New Roman Regular" w:cs="Times New Roman Regular"/>
        </w:rPr>
      </w:pPr>
      <w:r>
        <w:rPr>
          <w:rFonts w:ascii="Times New Roman" w:eastAsia="Times New Roman" w:hAnsi="Times New Roman" w:cs="Times New Roman"/>
          <w:szCs w:val="21"/>
        </w:rPr>
        <w:t>A zero-inclusive weekly category-region demand panel with lags, rolling features, and train/test flags.</w:t>
      </w:r>
    </w:p>
    <w:p w14:paraId="6A7B6489" w14:textId="77777777" w:rsidR="00E96B4B" w:rsidRDefault="00E96B4B">
      <w:pPr>
        <w:rPr>
          <w:rFonts w:ascii="Times New Roman Regular" w:hAnsi="Times New Roman Regular" w:cs="Times New Roman Regular"/>
        </w:rPr>
      </w:pPr>
      <w:r>
        <w:rPr>
          <w:rFonts w:ascii="Times New Roman" w:eastAsia="Times New Roman" w:hAnsi="Times New Roman" w:cs="Times New Roman"/>
          <w:szCs w:val="21"/>
        </w:rPr>
        <w:t>A route-and-hub parameter table containing historical supply share, median freight, weight, capacity proxies, and seller-risk measures.</w:t>
      </w:r>
    </w:p>
    <w:p w14:paraId="1ACCD6CE" w14:textId="77777777" w:rsidR="00E96B4B" w:rsidRDefault="00E96B4B">
      <w:pPr>
        <w:rPr>
          <w:rFonts w:ascii="Times New Roman Regular" w:hAnsi="Times New Roman Regular" w:cs="Times New Roman Regular"/>
        </w:rPr>
      </w:pPr>
      <w:r>
        <w:rPr>
          <w:rFonts w:ascii="Times New Roman" w:eastAsia="Times New Roman" w:hAnsi="Times New Roman" w:cs="Times New Roman"/>
          <w:szCs w:val="21"/>
        </w:rPr>
        <w:t>A forecast table containing actual demand, last-week, moving-average, pooled Ridge forecasts, residual scale, and safety-adjusted planning demand.</w:t>
      </w:r>
    </w:p>
    <w:p w14:paraId="3F595A0D" w14:textId="77777777" w:rsidR="00E96B4B" w:rsidRDefault="00E96B4B">
      <w:pPr>
        <w:rPr>
          <w:rFonts w:ascii="Times New Roman Regular" w:hAnsi="Times New Roman Regular" w:cs="Times New Roman Regular"/>
        </w:rPr>
      </w:pPr>
      <w:r>
        <w:rPr>
          <w:rFonts w:ascii="Times New Roman" w:eastAsia="Times New Roman" w:hAnsi="Times New Roman" w:cs="Times New Roman"/>
          <w:szCs w:val="21"/>
        </w:rPr>
        <w:t>An optimization input table separating Olist-observed, derived, and scenario-assumed parameters.</w:t>
      </w:r>
    </w:p>
    <w:p w14:paraId="61E08DEC" w14:textId="77777777" w:rsidR="00E96B4B" w:rsidRDefault="00E96B4B">
      <w:pPr>
        <w:rPr>
          <w:rFonts w:ascii="Times New Roman Regular" w:hAnsi="Times New Roman Regular" w:cs="Times New Roman Regular"/>
        </w:rPr>
      </w:pPr>
      <w:r>
        <w:rPr>
          <w:rFonts w:ascii="Times New Roman" w:eastAsia="Times New Roman" w:hAnsi="Times New Roman" w:cs="Times New Roman"/>
          <w:szCs w:val="21"/>
        </w:rPr>
        <w:t>A decision table containing replenishment, planned allocation, realized fulfillment, shortage, inventory, service-gap slack, and cost components.</w:t>
      </w:r>
    </w:p>
    <w:p w14:paraId="7EB17178" w14:textId="77777777" w:rsidR="00E96B4B" w:rsidRDefault="00E96B4B">
      <w:pPr>
        <w:rPr>
          <w:rFonts w:ascii="Times New Roman Regular" w:hAnsi="Times New Roman Regular" w:cs="Times New Roman Regular"/>
        </w:rPr>
      </w:pPr>
      <w:r>
        <w:rPr>
          <w:rFonts w:ascii="Times New Roman" w:eastAsia="Times New Roman" w:hAnsi="Times New Roman" w:cs="Times New Roman"/>
          <w:szCs w:val="21"/>
        </w:rPr>
        <w:t xml:space="preserve">Summary charts and tables for demand patterns, forecast errors, risk concentration, cost-service </w:t>
      </w:r>
      <w:r>
        <w:rPr>
          <w:rFonts w:ascii="Times New Roman" w:eastAsia="Times New Roman" w:hAnsi="Times New Roman" w:cs="Times New Roman"/>
          <w:szCs w:val="21"/>
        </w:rPr>
        <w:lastRenderedPageBreak/>
        <w:t>trade-offs, policy comparison, and sensitivity analysis.</w:t>
      </w:r>
    </w:p>
    <w:p w14:paraId="3E442F94" w14:textId="77777777" w:rsidR="00E96B4B" w:rsidRDefault="00E96B4B">
      <w:pPr>
        <w:rPr>
          <w:rFonts w:ascii="Times New Roman Regular" w:hAnsi="Times New Roman Regular" w:cs="Times New Roman Regular" w:hint="eastAsia"/>
        </w:rPr>
      </w:pPr>
    </w:p>
    <w:p w14:paraId="58E22744" w14:textId="01B3141D" w:rsidR="00E96B4B" w:rsidRDefault="00000000">
      <w:pPr>
        <w:rPr>
          <w:rFonts w:ascii="Times New Roman Bold" w:hAnsi="Times New Roman Bold" w:cs="Times New Roman Bold"/>
          <w:b/>
          <w:bCs/>
        </w:rPr>
      </w:pPr>
      <w:r>
        <w:rPr>
          <w:rFonts w:ascii="Times New Roman" w:eastAsia="Times New Roman" w:hAnsi="Times New Roman" w:cs="Times New Roman"/>
          <w:b/>
          <w:szCs w:val="21"/>
        </w:rPr>
        <w:t>1</w:t>
      </w:r>
      <w:r w:rsidR="00010499">
        <w:rPr>
          <w:rFonts w:ascii="Times New Roman" w:eastAsia="Times New Roman" w:hAnsi="Times New Roman" w:cs="Times New Roman" w:hint="eastAsia"/>
          <w:b/>
          <w:szCs w:val="21"/>
        </w:rPr>
        <w:t>1</w:t>
      </w:r>
      <w:r>
        <w:rPr>
          <w:rFonts w:ascii="Times New Roman" w:eastAsia="Times New Roman" w:hAnsi="Times New Roman" w:cs="Times New Roman"/>
          <w:b/>
          <w:szCs w:val="21"/>
        </w:rPr>
        <w:t>. Expected Contribution</w:t>
      </w:r>
    </w:p>
    <w:p w14:paraId="7709481F"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The project is expected to contribute an implementable example of forecast-driven Operations Research using public e-commerce data. It will explain where demand and fulfillment risk are concentrated, whether a pooled model improves prediction over transparent baselines, how forecast uncertainty changes replenishment, and how inventory and route capacity affect regional service. The final comparison will show when better statistical forecasts create meaningful cost or service improvements and when simple forecasts are sufficient.</w:t>
      </w:r>
    </w:p>
    <w:p w14:paraId="3A20C719" w14:textId="77777777" w:rsidR="00E96B4B" w:rsidRDefault="00000000">
      <w:pPr>
        <w:rPr>
          <w:rFonts w:ascii="Times New Roman Bold" w:hAnsi="Times New Roman Bold" w:cs="Times New Roman Bold"/>
          <w:b/>
          <w:bCs/>
        </w:rPr>
      </w:pPr>
      <w:r>
        <w:rPr>
          <w:rFonts w:ascii="Times New Roman" w:eastAsia="Times New Roman" w:hAnsi="Times New Roman" w:cs="Times New Roman"/>
          <w:szCs w:val="21"/>
        </w:rPr>
        <w:t>Methodologically, the project will make a clear distinction between facts observed in Olist, variables derived from those facts, and scenario assumptions needed for a counterfactual multi-hub system. This distinction, together with rolling validation and sensitivity analysis, will make the results auditable and prevent simulated parameters from being mistaken for real Olist operating data.</w:t>
      </w:r>
    </w:p>
    <w:p w14:paraId="1682CAE6" w14:textId="77777777" w:rsidR="00E96B4B" w:rsidRDefault="00E96B4B">
      <w:pPr>
        <w:rPr>
          <w:rFonts w:ascii="Times New Roman Regular" w:hAnsi="Times New Roman Regular" w:cs="Times New Roman Regular"/>
        </w:rPr>
      </w:pPr>
    </w:p>
    <w:p w14:paraId="32AE919A" w14:textId="5A2CE151" w:rsidR="00E96B4B" w:rsidRDefault="00000000">
      <w:pPr>
        <w:rPr>
          <w:rFonts w:ascii="Times New Roman Bold" w:hAnsi="Times New Roman Bold" w:cs="Times New Roman Bold"/>
          <w:b/>
          <w:bCs/>
        </w:rPr>
      </w:pPr>
      <w:r>
        <w:rPr>
          <w:rFonts w:ascii="Times New Roman" w:eastAsia="Times New Roman" w:hAnsi="Times New Roman" w:cs="Times New Roman"/>
          <w:b/>
          <w:szCs w:val="21"/>
        </w:rPr>
        <w:t>References</w:t>
      </w:r>
    </w:p>
    <w:p w14:paraId="71409407" w14:textId="06CCBEC4" w:rsidR="00B70156" w:rsidRPr="00B70156" w:rsidRDefault="00B70156" w:rsidP="00B70156">
      <w:pPr>
        <w:rPr>
          <w:rFonts w:ascii="Times New Roman" w:eastAsia="Times New Roman" w:hAnsi="Times New Roman" w:cs="Times New Roman" w:hint="eastAsia"/>
          <w:szCs w:val="21"/>
        </w:rPr>
      </w:pPr>
      <w:r w:rsidRPr="00B70156">
        <w:rPr>
          <w:rFonts w:ascii="Times New Roman" w:eastAsia="Times New Roman" w:hAnsi="Times New Roman" w:cs="Times New Roman"/>
          <w:szCs w:val="21"/>
        </w:rPr>
        <w:t>Bertsimas, D., &amp; Kallus, N. (2020). From predictive to prescriptive analytics. Management Science, 66(3), 1025–1044.</w:t>
      </w:r>
    </w:p>
    <w:p w14:paraId="05EAD044" w14:textId="77BF0C9D" w:rsidR="00B70156" w:rsidRPr="00B70156" w:rsidRDefault="00B70156" w:rsidP="00B70156">
      <w:pPr>
        <w:rPr>
          <w:rFonts w:ascii="Times New Roman" w:eastAsia="Times New Roman" w:hAnsi="Times New Roman" w:cs="Times New Roman" w:hint="eastAsia"/>
          <w:szCs w:val="21"/>
        </w:rPr>
      </w:pPr>
      <w:r w:rsidRPr="00B70156">
        <w:rPr>
          <w:rFonts w:ascii="Times New Roman" w:eastAsia="Times New Roman" w:hAnsi="Times New Roman" w:cs="Times New Roman"/>
          <w:szCs w:val="21"/>
        </w:rPr>
        <w:t>Elmachtoub, A. N., &amp; Grigas, P. (2022). Smart predict, then optimize. Management Science, 68(1), 9–26.</w:t>
      </w:r>
    </w:p>
    <w:p w14:paraId="0A4C2D53" w14:textId="7753D1B4" w:rsidR="00B70156" w:rsidRPr="00B70156" w:rsidRDefault="00B70156" w:rsidP="00B70156">
      <w:pPr>
        <w:rPr>
          <w:rFonts w:ascii="Times New Roman" w:eastAsia="Times New Roman" w:hAnsi="Times New Roman" w:cs="Times New Roman" w:hint="eastAsia"/>
          <w:szCs w:val="21"/>
        </w:rPr>
      </w:pPr>
      <w:r w:rsidRPr="00B70156">
        <w:rPr>
          <w:rFonts w:ascii="Times New Roman" w:eastAsia="Times New Roman" w:hAnsi="Times New Roman" w:cs="Times New Roman"/>
          <w:szCs w:val="21"/>
        </w:rPr>
        <w:t>Fildes, R., Ma, S., &amp; Kolassa, S. (2022). Retail forecasting: Research and practice. International Journal of Forecasting, 38(4), 1283–1318.</w:t>
      </w:r>
    </w:p>
    <w:p w14:paraId="154D14FB" w14:textId="65A0CB2B" w:rsidR="00B70156" w:rsidRPr="00B70156" w:rsidRDefault="00B70156" w:rsidP="00B70156">
      <w:pPr>
        <w:rPr>
          <w:rFonts w:ascii="Times New Roman" w:eastAsia="Times New Roman" w:hAnsi="Times New Roman" w:cs="Times New Roman" w:hint="eastAsia"/>
          <w:szCs w:val="21"/>
        </w:rPr>
      </w:pPr>
      <w:r w:rsidRPr="00B70156">
        <w:rPr>
          <w:rFonts w:ascii="Times New Roman" w:eastAsia="Times New Roman" w:hAnsi="Times New Roman" w:cs="Times New Roman"/>
          <w:szCs w:val="21"/>
        </w:rPr>
        <w:t xml:space="preserve">Hyndman, R. J., &amp; Athanasopoulos, G. (2021). Forecasting: Principles and Practice (3rd ed.). </w:t>
      </w:r>
      <w:proofErr w:type="spellStart"/>
      <w:r w:rsidRPr="00B70156">
        <w:rPr>
          <w:rFonts w:ascii="Times New Roman" w:eastAsia="Times New Roman" w:hAnsi="Times New Roman" w:cs="Times New Roman"/>
          <w:szCs w:val="21"/>
        </w:rPr>
        <w:t>OTexts</w:t>
      </w:r>
      <w:proofErr w:type="spellEnd"/>
      <w:r w:rsidRPr="00B70156">
        <w:rPr>
          <w:rFonts w:ascii="Times New Roman" w:eastAsia="Times New Roman" w:hAnsi="Times New Roman" w:cs="Times New Roman"/>
          <w:szCs w:val="21"/>
        </w:rPr>
        <w:t>.</w:t>
      </w:r>
    </w:p>
    <w:p w14:paraId="03A9B125" w14:textId="649F164C" w:rsidR="00B70156" w:rsidRPr="00B70156" w:rsidRDefault="00B70156" w:rsidP="00B70156">
      <w:pPr>
        <w:rPr>
          <w:rFonts w:ascii="Times New Roman" w:eastAsia="Times New Roman" w:hAnsi="Times New Roman" w:cs="Times New Roman" w:hint="eastAsia"/>
          <w:szCs w:val="21"/>
        </w:rPr>
      </w:pPr>
      <w:r w:rsidRPr="00B70156">
        <w:rPr>
          <w:rFonts w:ascii="Times New Roman" w:eastAsia="Times New Roman" w:hAnsi="Times New Roman" w:cs="Times New Roman"/>
          <w:szCs w:val="21"/>
        </w:rPr>
        <w:t>Snyder, L. V., &amp; Shen, Z.-J. M. (2019). Fundamentals of Supply Chain Theory (2nd ed.). Wiley.</w:t>
      </w:r>
    </w:p>
    <w:p w14:paraId="6E58F87D" w14:textId="1FFD9057" w:rsidR="00E96B4B" w:rsidRPr="00B70156" w:rsidRDefault="00B70156" w:rsidP="00B70156">
      <w:pPr>
        <w:rPr>
          <w:rFonts w:ascii="Times New Roman Bold" w:hAnsi="Times New Roman Bold" w:cs="Times New Roman Bold"/>
          <w:b/>
          <w:bCs/>
        </w:rPr>
      </w:pPr>
      <w:proofErr w:type="spellStart"/>
      <w:r w:rsidRPr="00B70156">
        <w:rPr>
          <w:rFonts w:ascii="Times New Roman" w:eastAsia="Times New Roman" w:hAnsi="Times New Roman" w:cs="Times New Roman"/>
          <w:szCs w:val="21"/>
        </w:rPr>
        <w:t>Olist</w:t>
      </w:r>
      <w:proofErr w:type="spellEnd"/>
      <w:r w:rsidRPr="00B70156">
        <w:rPr>
          <w:rFonts w:ascii="Times New Roman" w:eastAsia="Times New Roman" w:hAnsi="Times New Roman" w:cs="Times New Roman"/>
          <w:szCs w:val="21"/>
        </w:rPr>
        <w:t xml:space="preserve">. Brazilian E-Commerce Public Dataset by </w:t>
      </w:r>
      <w:proofErr w:type="spellStart"/>
      <w:r w:rsidRPr="00B70156">
        <w:rPr>
          <w:rFonts w:ascii="Times New Roman" w:eastAsia="Times New Roman" w:hAnsi="Times New Roman" w:cs="Times New Roman"/>
          <w:szCs w:val="21"/>
        </w:rPr>
        <w:t>Olist</w:t>
      </w:r>
      <w:proofErr w:type="spellEnd"/>
      <w:r w:rsidRPr="00B70156">
        <w:rPr>
          <w:rFonts w:ascii="Times New Roman" w:eastAsia="Times New Roman" w:hAnsi="Times New Roman" w:cs="Times New Roman"/>
          <w:szCs w:val="21"/>
        </w:rPr>
        <w:t>. Public marketplace transaction dataset.</w:t>
      </w:r>
    </w:p>
    <w:sectPr w:rsidR="00E96B4B" w:rsidRPr="00B7015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7EFF" w:usb1="C000785B" w:usb2="00000009" w:usb3="00000000" w:csb0="000001FF" w:csb1="00000000"/>
  </w:font>
  <w:font w:name="Times New Roman Bold">
    <w:altName w:val="Times New Roman"/>
    <w:panose1 w:val="020B0604020202020204"/>
    <w:charset w:val="00"/>
    <w:family w:val="auto"/>
    <w:pitch w:val="default"/>
    <w:sig w:usb0="E0002AEF" w:usb1="C0007841" w:usb2="00000009" w:usb3="00000000" w:csb0="400001FF" w:csb1="FFFF0000"/>
  </w:font>
  <w:font w:name="Times New Roman Regular">
    <w:altName w:val="Times New Roman"/>
    <w:panose1 w:val="020B0604020202020204"/>
    <w:charset w:val="00"/>
    <w:family w:val="auto"/>
    <w:pitch w:val="default"/>
    <w:sig w:usb0="E0002AEF" w:usb1="C0007841" w:usb2="00000009" w:usb3="00000000" w:csb0="400001FF" w:csb1="FFFF0000"/>
  </w:font>
  <w:font w:name="Times New Roman Italic">
    <w:altName w:val="Times New Roman"/>
    <w:panose1 w:val="020B0604020202020204"/>
    <w:charset w:val="00"/>
    <w:family w:val="auto"/>
    <w:pitch w:val="default"/>
    <w:sig w:usb0="E0002AEF" w:usb1="C0007841" w:usb2="00000009" w:usb3="00000000" w:csb0="400001FF" w:csb1="FFFF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4D1575"/>
    <w:multiLevelType w:val="singleLevel"/>
    <w:tmpl w:val="FF4D1575"/>
    <w:lvl w:ilvl="0">
      <w:start w:val="1"/>
      <w:numFmt w:val="decimal"/>
      <w:suff w:val="space"/>
      <w:lvlText w:val="%1."/>
      <w:lvlJc w:val="left"/>
    </w:lvl>
  </w:abstractNum>
  <w:abstractNum w:abstractNumId="1" w15:restartNumberingAfterBreak="0">
    <w:nsid w:val="7FFE6B08"/>
    <w:multiLevelType w:val="singleLevel"/>
    <w:tmpl w:val="7FFE6B08"/>
    <w:lvl w:ilvl="0">
      <w:start w:val="1"/>
      <w:numFmt w:val="decimal"/>
      <w:suff w:val="space"/>
      <w:lvlText w:val="%1."/>
      <w:lvlJc w:val="left"/>
    </w:lvl>
  </w:abstractNum>
  <w:num w:numId="1" w16cid:durableId="1145388210">
    <w:abstractNumId w:val="0"/>
  </w:num>
  <w:num w:numId="2" w16cid:durableId="3886545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D57F5CC6"/>
    <w:rsid w:val="00010499"/>
    <w:rsid w:val="003E62EF"/>
    <w:rsid w:val="0081059A"/>
    <w:rsid w:val="00AA5055"/>
    <w:rsid w:val="00B70156"/>
    <w:rsid w:val="00D43DF9"/>
    <w:rsid w:val="00E96B4B"/>
    <w:rsid w:val="D57F5C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78C2146"/>
  <w15:docId w15:val="{A2DFCC7C-450C-A749-8B68-4F0A429D2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1950</Words>
  <Characters>11121</Characters>
  <Application>Microsoft Office Word</Application>
  <DocSecurity>0</DocSecurity>
  <Lines>92</Lines>
  <Paragraphs>26</Paragraphs>
  <ScaleCrop>false</ScaleCrop>
  <Company/>
  <LinksUpToDate>false</LinksUpToDate>
  <CharactersWithSpaces>13045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三射迪</dc:creator>
  <cp:lastModifiedBy>T197295</cp:lastModifiedBy>
  <cp:revision>7</cp:revision>
  <dcterms:created xsi:type="dcterms:W3CDTF">2026-08-18T14:46:00Z</dcterms:created>
  <dcterms:modified xsi:type="dcterms:W3CDTF">2026-08-21T15:08:00Z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2052-12.1.23135.23135</vt:lpwstr>
  </property>
  <property fmtid="{D5CDD505-2E9C-101B-9397-08002B2CF9AE}" pid="3" name="ICV">
    <vt:lpwstr>FA3B179CF9C4DA006FA8846A6CBAB6E0_41</vt:lpwstr>
  </property>
</Properties>
</file>