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一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三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四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五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六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日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6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13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19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27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廖峻立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吳沛燊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馮仕豪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鄭宇軒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王美婷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29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31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李嘉瑋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施玟瑄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陳彥誌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莊泓叡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許承嵐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涂耿華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陳穎正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 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王欣宜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張永佳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4E1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4W1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Intern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On call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>主治醫師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2"/>
              </w:rPr>
              <w:t xml:space="preserve"/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Duty schedule output</dc:title>
  <cp:version/>
</cp:coreProperties>
</file>