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277E" w14:textId="77777777" w:rsidR="00014142" w:rsidRPr="00CE720C" w:rsidRDefault="00014142" w:rsidP="00533F56">
      <w:pPr>
        <w:jc w:val="center"/>
        <w:rPr>
          <w:rFonts w:ascii="Times New Roman" w:eastAsia="標楷體" w:hAnsi="Times New Roman" w:hint="eastAsia"/>
          <w:b/>
          <w:szCs w:val="24"/>
          <w:shd w:val="pct15" w:color="auto" w:fill="FFFFFF"/>
        </w:rPr>
      </w:pPr>
      <w:r w:rsidRPr="00CE720C">
        <w:rPr>
          <w:rFonts w:ascii="Times New Roman" w:eastAsia="標楷體" w:hAnsi="Times New Roman" w:hint="eastAsia"/>
          <w:b/>
          <w:szCs w:val="24"/>
          <w:shd w:val="pct15" w:color="auto" w:fill="FFFFFF"/>
        </w:rPr>
        <w:t>Kaseya</w:t>
      </w:r>
      <w:r w:rsidRPr="00CE720C">
        <w:rPr>
          <w:rFonts w:ascii="Times New Roman" w:eastAsia="標楷體" w:hAnsi="Times New Roman" w:hint="eastAsia"/>
          <w:b/>
          <w:szCs w:val="24"/>
          <w:shd w:val="pct15" w:color="auto" w:fill="FFFFFF"/>
        </w:rPr>
        <w:t>駭客攻擊事件</w:t>
      </w:r>
    </w:p>
    <w:p w14:paraId="1FE7D0D0" w14:textId="77777777" w:rsidR="00014142" w:rsidRPr="00495E16" w:rsidRDefault="00014142" w:rsidP="00014142">
      <w:pPr>
        <w:rPr>
          <w:rFonts w:ascii="Times New Roman" w:eastAsia="標楷體" w:hAnsi="Times New Roman" w:hint="eastAsia"/>
          <w:b/>
          <w:color w:val="C00000"/>
          <w:szCs w:val="24"/>
        </w:rPr>
      </w:pPr>
      <w:r w:rsidRPr="00495E16">
        <w:rPr>
          <w:rFonts w:ascii="Times New Roman" w:eastAsia="標楷體" w:hAnsi="Times New Roman" w:hint="eastAsia"/>
          <w:b/>
          <w:color w:val="C00000"/>
          <w:szCs w:val="24"/>
        </w:rPr>
        <w:t>事件簡述：</w:t>
      </w:r>
    </w:p>
    <w:p w14:paraId="1B426C58" w14:textId="77777777" w:rsidR="00014142" w:rsidRPr="00CE720C" w:rsidRDefault="00533F56" w:rsidP="00CE720C">
      <w:pPr>
        <w:jc w:val="both"/>
        <w:rPr>
          <w:rFonts w:ascii="Times New Roman" w:eastAsia="標楷體" w:hAnsi="Times New Roman"/>
          <w:szCs w:val="24"/>
        </w:rPr>
      </w:pPr>
      <w:r w:rsidRPr="00CE720C">
        <w:rPr>
          <w:rFonts w:ascii="Times New Roman" w:eastAsia="標楷體" w:hAnsi="Times New Roman" w:hint="eastAsia"/>
          <w:szCs w:val="24"/>
        </w:rPr>
        <w:t xml:space="preserve">　　</w:t>
      </w:r>
      <w:r w:rsidR="00014142" w:rsidRPr="00CE720C">
        <w:rPr>
          <w:rFonts w:ascii="Times New Roman" w:eastAsia="標楷體" w:hAnsi="Times New Roman" w:hint="eastAsia"/>
          <w:color w:val="262626" w:themeColor="text1" w:themeTint="D9"/>
          <w:szCs w:val="24"/>
        </w:rPr>
        <w:t>Kaseya</w:t>
      </w:r>
      <w:r w:rsidR="00014142" w:rsidRPr="00CE720C">
        <w:rPr>
          <w:rFonts w:ascii="Times New Roman" w:eastAsia="標楷體" w:hAnsi="Times New Roman" w:hint="eastAsia"/>
          <w:color w:val="262626" w:themeColor="text1" w:themeTint="D9"/>
          <w:szCs w:val="24"/>
        </w:rPr>
        <w:t>是一家為管理服務商（</w:t>
      </w:r>
      <w:r w:rsidR="00014142" w:rsidRPr="00CE720C">
        <w:rPr>
          <w:rFonts w:ascii="Times New Roman" w:eastAsia="標楷體" w:hAnsi="Times New Roman" w:hint="eastAsia"/>
          <w:color w:val="262626" w:themeColor="text1" w:themeTint="D9"/>
          <w:szCs w:val="24"/>
        </w:rPr>
        <w:t>MSP</w:t>
      </w:r>
      <w:r w:rsidR="00014142" w:rsidRPr="00CE720C">
        <w:rPr>
          <w:rFonts w:ascii="Times New Roman" w:eastAsia="標楷體" w:hAnsi="Times New Roman" w:hint="eastAsia"/>
          <w:color w:val="262626" w:themeColor="text1" w:themeTint="D9"/>
          <w:szCs w:val="24"/>
        </w:rPr>
        <w:t>）和</w:t>
      </w:r>
      <w:r w:rsidR="00014142" w:rsidRPr="00CE720C">
        <w:rPr>
          <w:rFonts w:ascii="Times New Roman" w:eastAsia="標楷體" w:hAnsi="Times New Roman" w:hint="eastAsia"/>
          <w:color w:val="262626" w:themeColor="text1" w:themeTint="D9"/>
          <w:szCs w:val="24"/>
        </w:rPr>
        <w:t>IT</w:t>
      </w:r>
      <w:r w:rsidR="00014142" w:rsidRPr="00CE720C">
        <w:rPr>
          <w:rFonts w:ascii="Times New Roman" w:eastAsia="標楷體" w:hAnsi="Times New Roman" w:hint="eastAsia"/>
          <w:color w:val="262626" w:themeColor="text1" w:themeTint="D9"/>
          <w:szCs w:val="24"/>
        </w:rPr>
        <w:t>公司提供</w:t>
      </w:r>
      <w:r w:rsidR="00014142" w:rsidRPr="00CE720C">
        <w:rPr>
          <w:rFonts w:ascii="Times New Roman" w:eastAsia="標楷體" w:hAnsi="Times New Roman" w:hint="eastAsia"/>
          <w:color w:val="262626" w:themeColor="text1" w:themeTint="D9"/>
          <w:szCs w:val="24"/>
        </w:rPr>
        <w:t>IT</w:t>
      </w:r>
      <w:r w:rsidR="00014142" w:rsidRPr="00CE720C">
        <w:rPr>
          <w:rFonts w:ascii="Times New Roman" w:eastAsia="標楷體" w:hAnsi="Times New Roman" w:hint="eastAsia"/>
          <w:color w:val="262626" w:themeColor="text1" w:themeTint="D9"/>
          <w:szCs w:val="24"/>
        </w:rPr>
        <w:t>管理軟體的公司，</w:t>
      </w:r>
      <w:r w:rsidR="00014142" w:rsidRPr="00CE720C">
        <w:rPr>
          <w:rFonts w:ascii="Times New Roman" w:eastAsia="標楷體" w:hAnsi="Times New Roman" w:hint="eastAsia"/>
          <w:color w:val="262626" w:themeColor="text1" w:themeTint="D9"/>
          <w:szCs w:val="24"/>
        </w:rPr>
        <w:t>Kaseya</w:t>
      </w:r>
      <w:r w:rsidR="00014142" w:rsidRPr="00CE720C">
        <w:rPr>
          <w:rFonts w:ascii="Times New Roman" w:eastAsia="標楷體" w:hAnsi="Times New Roman" w:hint="eastAsia"/>
          <w:color w:val="262626" w:themeColor="text1" w:themeTint="D9"/>
          <w:szCs w:val="24"/>
        </w:rPr>
        <w:t>在</w:t>
      </w:r>
      <w:r w:rsidR="00014142" w:rsidRPr="00CE720C">
        <w:rPr>
          <w:rFonts w:ascii="Times New Roman" w:eastAsia="標楷體" w:hAnsi="Times New Roman" w:hint="eastAsia"/>
          <w:color w:val="262626" w:themeColor="text1" w:themeTint="D9"/>
          <w:szCs w:val="24"/>
        </w:rPr>
        <w:t>7</w:t>
      </w:r>
      <w:r w:rsidR="00014142" w:rsidRPr="00CE720C">
        <w:rPr>
          <w:rFonts w:ascii="Times New Roman" w:eastAsia="標楷體" w:hAnsi="Times New Roman" w:hint="eastAsia"/>
          <w:color w:val="262626" w:themeColor="text1" w:themeTint="D9"/>
          <w:szCs w:val="24"/>
        </w:rPr>
        <w:t>月</w:t>
      </w:r>
      <w:r w:rsidR="00014142" w:rsidRPr="00CE720C">
        <w:rPr>
          <w:rFonts w:ascii="Times New Roman" w:eastAsia="標楷體" w:hAnsi="Times New Roman" w:hint="eastAsia"/>
          <w:color w:val="262626" w:themeColor="text1" w:themeTint="D9"/>
          <w:szCs w:val="24"/>
        </w:rPr>
        <w:t>2</w:t>
      </w:r>
      <w:r w:rsidR="00014142" w:rsidRPr="00CE720C">
        <w:rPr>
          <w:rFonts w:ascii="Times New Roman" w:eastAsia="標楷體" w:hAnsi="Times New Roman" w:hint="eastAsia"/>
          <w:color w:val="262626" w:themeColor="text1" w:themeTint="D9"/>
          <w:szCs w:val="24"/>
        </w:rPr>
        <w:t>日坦承遭到駭客入侵，駭客成功入侵其就地部署的</w:t>
      </w:r>
      <w:r w:rsidR="00014142" w:rsidRPr="00CE720C">
        <w:rPr>
          <w:rFonts w:ascii="Times New Roman" w:eastAsia="標楷體" w:hAnsi="Times New Roman" w:hint="eastAsia"/>
          <w:color w:val="262626" w:themeColor="text1" w:themeTint="D9"/>
          <w:szCs w:val="24"/>
        </w:rPr>
        <w:t>Kaseya VSA</w:t>
      </w:r>
      <w:r w:rsidR="00014142" w:rsidRPr="00CE720C">
        <w:rPr>
          <w:rFonts w:ascii="Times New Roman" w:eastAsia="標楷體" w:hAnsi="Times New Roman" w:hint="eastAsia"/>
          <w:color w:val="262626" w:themeColor="text1" w:themeTint="D9"/>
          <w:szCs w:val="24"/>
        </w:rPr>
        <w:t>軟體，並向</w:t>
      </w:r>
      <w:r w:rsidR="00014142" w:rsidRPr="00CE720C">
        <w:rPr>
          <w:rFonts w:ascii="Times New Roman" w:eastAsia="標楷體" w:hAnsi="Times New Roman" w:hint="eastAsia"/>
          <w:color w:val="262626" w:themeColor="text1" w:themeTint="D9"/>
          <w:szCs w:val="24"/>
        </w:rPr>
        <w:t>Kaseya VSA</w:t>
      </w:r>
      <w:r w:rsidR="00014142" w:rsidRPr="00CE720C">
        <w:rPr>
          <w:rFonts w:ascii="Times New Roman" w:eastAsia="標楷體" w:hAnsi="Times New Roman" w:hint="eastAsia"/>
          <w:color w:val="262626" w:themeColor="text1" w:themeTint="D9"/>
          <w:szCs w:val="24"/>
        </w:rPr>
        <w:t>客戶發動勒索軟體攻擊，根據</w:t>
      </w:r>
      <w:r w:rsidR="00014142" w:rsidRPr="00CE720C">
        <w:rPr>
          <w:rFonts w:ascii="Times New Roman" w:eastAsia="標楷體" w:hAnsi="Times New Roman" w:hint="eastAsia"/>
          <w:color w:val="262626" w:themeColor="text1" w:themeTint="D9"/>
          <w:szCs w:val="24"/>
        </w:rPr>
        <w:t>Kaseya</w:t>
      </w:r>
      <w:r w:rsidR="00014142" w:rsidRPr="00CE720C">
        <w:rPr>
          <w:rFonts w:ascii="Times New Roman" w:eastAsia="標楷體" w:hAnsi="Times New Roman" w:hint="eastAsia"/>
          <w:color w:val="262626" w:themeColor="text1" w:themeTint="D9"/>
          <w:szCs w:val="24"/>
        </w:rPr>
        <w:t>的估計，只有不到</w:t>
      </w:r>
      <w:r w:rsidR="00014142" w:rsidRPr="00CE720C">
        <w:rPr>
          <w:rFonts w:ascii="Times New Roman" w:eastAsia="標楷體" w:hAnsi="Times New Roman" w:hint="eastAsia"/>
          <w:color w:val="262626" w:themeColor="text1" w:themeTint="D9"/>
          <w:szCs w:val="24"/>
        </w:rPr>
        <w:t>60</w:t>
      </w:r>
      <w:r w:rsidR="00014142" w:rsidRPr="00CE720C">
        <w:rPr>
          <w:rFonts w:ascii="Times New Roman" w:eastAsia="標楷體" w:hAnsi="Times New Roman" w:hint="eastAsia"/>
          <w:color w:val="262626" w:themeColor="text1" w:themeTint="D9"/>
          <w:szCs w:val="24"/>
        </w:rPr>
        <w:t>家</w:t>
      </w:r>
      <w:r w:rsidR="00014142" w:rsidRPr="00CE720C">
        <w:rPr>
          <w:rFonts w:ascii="Times New Roman" w:eastAsia="標楷體" w:hAnsi="Times New Roman" w:hint="eastAsia"/>
          <w:color w:val="262626" w:themeColor="text1" w:themeTint="D9"/>
          <w:szCs w:val="24"/>
        </w:rPr>
        <w:t>Kaseya VSA</w:t>
      </w:r>
      <w:r w:rsidR="00014142" w:rsidRPr="00CE720C">
        <w:rPr>
          <w:rFonts w:ascii="Times New Roman" w:eastAsia="標楷體" w:hAnsi="Times New Roman" w:hint="eastAsia"/>
          <w:color w:val="262626" w:themeColor="text1" w:themeTint="D9"/>
          <w:szCs w:val="24"/>
        </w:rPr>
        <w:t>客戶直接遭到波及，牽連了接近</w:t>
      </w:r>
      <w:r w:rsidR="00014142" w:rsidRPr="00CE720C">
        <w:rPr>
          <w:rFonts w:ascii="Times New Roman" w:eastAsia="標楷體" w:hAnsi="Times New Roman" w:hint="eastAsia"/>
          <w:color w:val="262626" w:themeColor="text1" w:themeTint="D9"/>
          <w:szCs w:val="24"/>
        </w:rPr>
        <w:t>1,500</w:t>
      </w:r>
      <w:r w:rsidR="00014142" w:rsidRPr="00CE720C">
        <w:rPr>
          <w:rFonts w:ascii="Times New Roman" w:eastAsia="標楷體" w:hAnsi="Times New Roman" w:hint="eastAsia"/>
          <w:color w:val="262626" w:themeColor="text1" w:themeTint="D9"/>
          <w:szCs w:val="24"/>
        </w:rPr>
        <w:t>家的下游廠商。雖然</w:t>
      </w:r>
      <w:r w:rsidR="00014142" w:rsidRPr="00CE720C">
        <w:rPr>
          <w:rFonts w:ascii="Times New Roman" w:eastAsia="標楷體" w:hAnsi="Times New Roman" w:hint="eastAsia"/>
          <w:color w:val="262626" w:themeColor="text1" w:themeTint="D9"/>
          <w:szCs w:val="24"/>
        </w:rPr>
        <w:t>Kaseya</w:t>
      </w:r>
      <w:r w:rsidR="00014142" w:rsidRPr="00CE720C">
        <w:rPr>
          <w:rFonts w:ascii="Times New Roman" w:eastAsia="標楷體" w:hAnsi="Times New Roman" w:hint="eastAsia"/>
          <w:color w:val="262626" w:themeColor="text1" w:themeTint="D9"/>
          <w:szCs w:val="24"/>
        </w:rPr>
        <w:t>宣稱</w:t>
      </w:r>
      <w:r w:rsidR="00014142" w:rsidRPr="00CE720C">
        <w:rPr>
          <w:rFonts w:ascii="Times New Roman" w:eastAsia="標楷體" w:hAnsi="Times New Roman" w:hint="eastAsia"/>
          <w:color w:val="262626" w:themeColor="text1" w:themeTint="D9"/>
          <w:szCs w:val="24"/>
        </w:rPr>
        <w:t>VSA SaaS</w:t>
      </w:r>
      <w:r w:rsidR="00014142" w:rsidRPr="00CE720C">
        <w:rPr>
          <w:rFonts w:ascii="Times New Roman" w:eastAsia="標楷體" w:hAnsi="Times New Roman" w:hint="eastAsia"/>
          <w:color w:val="262626" w:themeColor="text1" w:themeTint="D9"/>
          <w:szCs w:val="24"/>
        </w:rPr>
        <w:t>並未受到影響，但為了以防萬一也將</w:t>
      </w:r>
      <w:r w:rsidR="00014142" w:rsidRPr="00CE720C">
        <w:rPr>
          <w:rFonts w:ascii="Times New Roman" w:eastAsia="標楷體" w:hAnsi="Times New Roman" w:hint="eastAsia"/>
          <w:color w:val="262626" w:themeColor="text1" w:themeTint="D9"/>
          <w:szCs w:val="24"/>
        </w:rPr>
        <w:t>VSA SaaS</w:t>
      </w:r>
      <w:r w:rsidR="00014142" w:rsidRPr="00CE720C">
        <w:rPr>
          <w:rFonts w:ascii="Times New Roman" w:eastAsia="標楷體" w:hAnsi="Times New Roman" w:hint="eastAsia"/>
          <w:color w:val="262626" w:themeColor="text1" w:themeTint="D9"/>
          <w:szCs w:val="24"/>
        </w:rPr>
        <w:t>一併下線。</w:t>
      </w:r>
    </w:p>
    <w:p w14:paraId="5E4328F5" w14:textId="77777777" w:rsidR="00533F56" w:rsidRPr="00CE720C" w:rsidRDefault="00533F56" w:rsidP="00533F56">
      <w:pPr>
        <w:jc w:val="both"/>
        <w:rPr>
          <w:rFonts w:ascii="Times New Roman" w:eastAsia="標楷體" w:hAnsi="Times New Roman" w:hint="eastAsia"/>
          <w:szCs w:val="24"/>
        </w:rPr>
      </w:pPr>
    </w:p>
    <w:p w14:paraId="518739A9" w14:textId="77777777" w:rsidR="00014142" w:rsidRPr="00495E16" w:rsidRDefault="00014142" w:rsidP="00014142">
      <w:pPr>
        <w:rPr>
          <w:rFonts w:ascii="Times New Roman" w:eastAsia="標楷體" w:hAnsi="Times New Roman" w:hint="eastAsia"/>
          <w:b/>
          <w:color w:val="C00000"/>
          <w:szCs w:val="24"/>
        </w:rPr>
      </w:pPr>
      <w:r w:rsidRPr="00495E16">
        <w:rPr>
          <w:rFonts w:ascii="Times New Roman" w:eastAsia="標楷體" w:hAnsi="Times New Roman" w:hint="eastAsia"/>
          <w:b/>
          <w:color w:val="C00000"/>
          <w:szCs w:val="24"/>
        </w:rPr>
        <w:t>Kaseya</w:t>
      </w:r>
      <w:r w:rsidRPr="00495E16">
        <w:rPr>
          <w:rFonts w:ascii="Times New Roman" w:eastAsia="標楷體" w:hAnsi="Times New Roman" w:hint="eastAsia"/>
          <w:b/>
          <w:color w:val="C00000"/>
          <w:szCs w:val="24"/>
        </w:rPr>
        <w:t>安全漏洞：</w:t>
      </w:r>
    </w:p>
    <w:p w14:paraId="4BBBEF7F" w14:textId="77777777" w:rsidR="00014142" w:rsidRPr="00CE720C" w:rsidRDefault="00533F56" w:rsidP="00533F56">
      <w:pPr>
        <w:rPr>
          <w:rFonts w:ascii="Times New Roman" w:eastAsia="標楷體" w:hAnsi="Times New Roman" w:hint="eastAsia"/>
          <w:color w:val="262626" w:themeColor="text1" w:themeTint="D9"/>
          <w:szCs w:val="24"/>
        </w:rPr>
      </w:pPr>
      <w:r w:rsidRPr="00CE720C">
        <w:rPr>
          <w:rFonts w:ascii="Times New Roman" w:eastAsia="標楷體" w:hAnsi="Times New Roman" w:hint="eastAsia"/>
          <w:color w:val="262626" w:themeColor="text1" w:themeTint="D9"/>
          <w:szCs w:val="24"/>
        </w:rPr>
        <w:t xml:space="preserve">　　</w:t>
      </w:r>
      <w:r w:rsidR="00014142" w:rsidRPr="00CE720C">
        <w:rPr>
          <w:rFonts w:ascii="Times New Roman" w:eastAsia="標楷體" w:hAnsi="Times New Roman" w:hint="eastAsia"/>
          <w:color w:val="262626" w:themeColor="text1" w:themeTint="D9"/>
          <w:szCs w:val="24"/>
        </w:rPr>
        <w:t>以下為荷蘭漏洞揭露協會（</w:t>
      </w:r>
      <w:r w:rsidR="00014142" w:rsidRPr="00CE720C">
        <w:rPr>
          <w:rFonts w:ascii="Times New Roman" w:eastAsia="標楷體" w:hAnsi="Times New Roman" w:hint="eastAsia"/>
          <w:color w:val="262626" w:themeColor="text1" w:themeTint="D9"/>
          <w:szCs w:val="24"/>
        </w:rPr>
        <w:t>Dutch Institute for Vulnerability Disclosure</w:t>
      </w:r>
      <w:r w:rsidR="00014142" w:rsidRPr="00CE720C">
        <w:rPr>
          <w:rFonts w:ascii="Times New Roman" w:eastAsia="標楷體" w:hAnsi="Times New Roman" w:hint="eastAsia"/>
          <w:color w:val="262626" w:themeColor="text1" w:themeTint="D9"/>
          <w:szCs w:val="24"/>
        </w:rPr>
        <w:t>，</w:t>
      </w:r>
      <w:r w:rsidR="00014142" w:rsidRPr="00CE720C">
        <w:rPr>
          <w:rFonts w:ascii="Times New Roman" w:eastAsia="標楷體" w:hAnsi="Times New Roman" w:hint="eastAsia"/>
          <w:color w:val="262626" w:themeColor="text1" w:themeTint="D9"/>
          <w:szCs w:val="24"/>
        </w:rPr>
        <w:t>DIVD</w:t>
      </w:r>
      <w:r w:rsidR="00014142" w:rsidRPr="00CE720C">
        <w:rPr>
          <w:rFonts w:ascii="Times New Roman" w:eastAsia="標楷體" w:hAnsi="Times New Roman" w:hint="eastAsia"/>
          <w:color w:val="262626" w:themeColor="text1" w:themeTint="D9"/>
          <w:szCs w:val="24"/>
        </w:rPr>
        <w:t>）公佈相關漏洞的編號與摘要，但不包含漏洞細節。</w:t>
      </w:r>
    </w:p>
    <w:p w14:paraId="03DFB295" w14:textId="77777777" w:rsidR="00014142" w:rsidRPr="00CE720C" w:rsidRDefault="00014142" w:rsidP="00014142">
      <w:pPr>
        <w:rPr>
          <w:rFonts w:ascii="Times New Roman" w:eastAsia="標楷體" w:hAnsi="Times New Roman"/>
          <w:color w:val="262626" w:themeColor="text1" w:themeTint="D9"/>
          <w:szCs w:val="24"/>
        </w:rPr>
      </w:pPr>
    </w:p>
    <w:p w14:paraId="37D2B0A2" w14:textId="77777777" w:rsidR="00533F56" w:rsidRPr="00CE720C" w:rsidRDefault="00533F56" w:rsidP="00CE720C">
      <w:pPr>
        <w:rPr>
          <w:rFonts w:ascii="Times New Roman" w:eastAsia="標楷體" w:hAnsi="Times New Roman" w:hint="eastAsia"/>
          <w:color w:val="262626" w:themeColor="text1" w:themeTint="D9"/>
          <w:szCs w:val="24"/>
        </w:rPr>
        <w:sectPr w:rsidR="00533F56" w:rsidRPr="00CE720C" w:rsidSect="00CE720C">
          <w:headerReference w:type="default" r:id="rId8"/>
          <w:pgSz w:w="11906" w:h="16838"/>
          <w:pgMar w:top="1440" w:right="1080" w:bottom="1440" w:left="1080" w:header="851" w:footer="992" w:gutter="0"/>
          <w:cols w:space="425"/>
          <w:docGrid w:type="lines" w:linePitch="360"/>
        </w:sectPr>
      </w:pPr>
    </w:p>
    <w:p w14:paraId="28CEFAAA"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DCVE-2021-30116 </w:t>
      </w:r>
      <w:r w:rsidRPr="00CE720C">
        <w:rPr>
          <w:rFonts w:ascii="Times New Roman" w:eastAsia="標楷體" w:hAnsi="Times New Roman" w:hint="eastAsia"/>
          <w:color w:val="262626" w:themeColor="text1" w:themeTint="D9"/>
          <w:sz w:val="20"/>
          <w:szCs w:val="24"/>
        </w:rPr>
        <w:t>憑證外</w:t>
      </w:r>
      <w:proofErr w:type="gramStart"/>
      <w:r w:rsidRPr="00CE720C">
        <w:rPr>
          <w:rFonts w:ascii="Times New Roman" w:eastAsia="標楷體" w:hAnsi="Times New Roman" w:hint="eastAsia"/>
          <w:color w:val="262626" w:themeColor="text1" w:themeTint="D9"/>
          <w:sz w:val="20"/>
          <w:szCs w:val="24"/>
        </w:rPr>
        <w:t>洩</w:t>
      </w:r>
      <w:proofErr w:type="gramEnd"/>
      <w:r w:rsidRPr="00CE720C">
        <w:rPr>
          <w:rFonts w:ascii="Times New Roman" w:eastAsia="標楷體" w:hAnsi="Times New Roman" w:hint="eastAsia"/>
          <w:color w:val="262626" w:themeColor="text1" w:themeTint="D9"/>
          <w:sz w:val="20"/>
          <w:szCs w:val="24"/>
        </w:rPr>
        <w:t>漏洞</w:t>
      </w:r>
    </w:p>
    <w:p w14:paraId="27730DFF"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CVE-2021-30117 </w:t>
      </w:r>
      <w:proofErr w:type="gramStart"/>
      <w:r w:rsidRPr="00CE720C">
        <w:rPr>
          <w:rFonts w:ascii="Times New Roman" w:eastAsia="標楷體" w:hAnsi="Times New Roman" w:hint="eastAsia"/>
          <w:color w:val="262626" w:themeColor="text1" w:themeTint="D9"/>
          <w:sz w:val="20"/>
          <w:szCs w:val="24"/>
        </w:rPr>
        <w:t>資料隱碼漏洞</w:t>
      </w:r>
      <w:proofErr w:type="gramEnd"/>
    </w:p>
    <w:p w14:paraId="03ECB8FF"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CVE-2021-30118 </w:t>
      </w:r>
      <w:r w:rsidRPr="00CE720C">
        <w:rPr>
          <w:rFonts w:ascii="Times New Roman" w:eastAsia="標楷體" w:hAnsi="Times New Roman" w:hint="eastAsia"/>
          <w:color w:val="262626" w:themeColor="text1" w:themeTint="D9"/>
          <w:sz w:val="20"/>
          <w:szCs w:val="24"/>
        </w:rPr>
        <w:t>遠端程式攻擊漏洞</w:t>
      </w:r>
    </w:p>
    <w:p w14:paraId="2B81BB72"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CVE-2021-30119 </w:t>
      </w:r>
      <w:r w:rsidRPr="00CE720C">
        <w:rPr>
          <w:rFonts w:ascii="Times New Roman" w:eastAsia="標楷體" w:hAnsi="Times New Roman" w:hint="eastAsia"/>
          <w:color w:val="262626" w:themeColor="text1" w:themeTint="D9"/>
          <w:sz w:val="20"/>
          <w:szCs w:val="24"/>
        </w:rPr>
        <w:t>跨站指令碼漏洞</w:t>
      </w:r>
    </w:p>
    <w:p w14:paraId="2B00CFB8"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CVE-2021-30120 </w:t>
      </w:r>
      <w:r w:rsidRPr="00CE720C">
        <w:rPr>
          <w:rFonts w:ascii="Times New Roman" w:eastAsia="標楷體" w:hAnsi="Times New Roman" w:hint="eastAsia"/>
          <w:color w:val="262626" w:themeColor="text1" w:themeTint="D9"/>
          <w:sz w:val="20"/>
          <w:szCs w:val="24"/>
        </w:rPr>
        <w:t>雙因素認證繞過漏洞。</w:t>
      </w:r>
    </w:p>
    <w:p w14:paraId="592D8E60"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 xml:space="preserve">CVE-2021-30121 </w:t>
      </w:r>
      <w:r w:rsidRPr="00CE720C">
        <w:rPr>
          <w:rFonts w:ascii="Times New Roman" w:eastAsia="標楷體" w:hAnsi="Times New Roman" w:hint="eastAsia"/>
          <w:color w:val="262626" w:themeColor="text1" w:themeTint="D9"/>
          <w:sz w:val="20"/>
          <w:szCs w:val="24"/>
        </w:rPr>
        <w:t>本地文件包含漏洞</w:t>
      </w:r>
    </w:p>
    <w:p w14:paraId="43BBCC1F" w14:textId="77777777" w:rsidR="00014142" w:rsidRPr="00CE720C" w:rsidRDefault="00014142" w:rsidP="00533F56">
      <w:pPr>
        <w:pStyle w:val="a3"/>
        <w:numPr>
          <w:ilvl w:val="0"/>
          <w:numId w:val="1"/>
        </w:numPr>
        <w:ind w:leftChars="0"/>
        <w:rPr>
          <w:rFonts w:ascii="Times New Roman" w:eastAsia="標楷體" w:hAnsi="Times New Roman" w:hint="eastAsia"/>
          <w:color w:val="262626" w:themeColor="text1" w:themeTint="D9"/>
          <w:sz w:val="20"/>
          <w:szCs w:val="24"/>
        </w:rPr>
      </w:pPr>
      <w:r w:rsidRPr="00CE720C">
        <w:rPr>
          <w:rFonts w:ascii="Times New Roman" w:eastAsia="標楷體" w:hAnsi="Times New Roman" w:hint="eastAsia"/>
          <w:color w:val="262626" w:themeColor="text1" w:themeTint="D9"/>
          <w:sz w:val="20"/>
          <w:szCs w:val="24"/>
        </w:rPr>
        <w:t>CVE-2021-30201 XML</w:t>
      </w:r>
      <w:r w:rsidRPr="00CE720C">
        <w:rPr>
          <w:rFonts w:ascii="Times New Roman" w:eastAsia="標楷體" w:hAnsi="Times New Roman" w:hint="eastAsia"/>
          <w:color w:val="262626" w:themeColor="text1" w:themeTint="D9"/>
          <w:sz w:val="20"/>
          <w:szCs w:val="24"/>
        </w:rPr>
        <w:t>外部實體注入漏洞</w:t>
      </w:r>
    </w:p>
    <w:p w14:paraId="16929389" w14:textId="77777777" w:rsidR="00533F56" w:rsidRPr="00CE720C" w:rsidRDefault="00533F56" w:rsidP="00014142">
      <w:pPr>
        <w:rPr>
          <w:rFonts w:ascii="Times New Roman" w:eastAsia="標楷體" w:hAnsi="Times New Roman"/>
          <w:color w:val="262626" w:themeColor="text1" w:themeTint="D9"/>
          <w:sz w:val="20"/>
          <w:szCs w:val="24"/>
        </w:rPr>
        <w:sectPr w:rsidR="00533F56" w:rsidRPr="00CE720C" w:rsidSect="00CE720C">
          <w:type w:val="continuous"/>
          <w:pgSz w:w="11906" w:h="16838"/>
          <w:pgMar w:top="1440" w:right="1080" w:bottom="1440" w:left="1080" w:header="851" w:footer="992" w:gutter="0"/>
          <w:cols w:num="2" w:space="425"/>
          <w:docGrid w:type="lines" w:linePitch="360"/>
        </w:sectPr>
      </w:pPr>
    </w:p>
    <w:p w14:paraId="1032B32F" w14:textId="77777777" w:rsidR="00014142" w:rsidRPr="00CE720C" w:rsidRDefault="00014142" w:rsidP="00014142">
      <w:pPr>
        <w:rPr>
          <w:rFonts w:ascii="Times New Roman" w:eastAsia="標楷體" w:hAnsi="Times New Roman"/>
          <w:szCs w:val="24"/>
        </w:rPr>
      </w:pPr>
    </w:p>
    <w:p w14:paraId="0410BF56" w14:textId="77777777" w:rsidR="00014142" w:rsidRPr="00495E16" w:rsidRDefault="00014142" w:rsidP="00014142">
      <w:pPr>
        <w:rPr>
          <w:rFonts w:ascii="Times New Roman" w:eastAsia="標楷體" w:hAnsi="Times New Roman" w:hint="eastAsia"/>
          <w:b/>
          <w:color w:val="C00000"/>
          <w:szCs w:val="24"/>
        </w:rPr>
      </w:pPr>
      <w:r w:rsidRPr="00495E16">
        <w:rPr>
          <w:rFonts w:ascii="Times New Roman" w:eastAsia="標楷體" w:hAnsi="Times New Roman" w:hint="eastAsia"/>
          <w:b/>
          <w:color w:val="C00000"/>
          <w:szCs w:val="24"/>
        </w:rPr>
        <w:t>駭客攻擊手法：</w:t>
      </w:r>
    </w:p>
    <w:p w14:paraId="1188EEA2" w14:textId="77777777" w:rsidR="00495E16" w:rsidRPr="00495E16" w:rsidRDefault="00533F56" w:rsidP="00533F56">
      <w:pPr>
        <w:jc w:val="both"/>
        <w:rPr>
          <w:rFonts w:ascii="Times New Roman" w:eastAsia="標楷體" w:hAnsi="Times New Roman" w:hint="eastAsia"/>
          <w:color w:val="262626" w:themeColor="text1" w:themeTint="D9"/>
          <w:szCs w:val="24"/>
        </w:rPr>
      </w:pPr>
      <w:r w:rsidRPr="00CE720C">
        <w:rPr>
          <w:rFonts w:ascii="Times New Roman" w:eastAsia="標楷體" w:hAnsi="Times New Roman" w:hint="eastAsia"/>
          <w:szCs w:val="24"/>
        </w:rPr>
        <w:t xml:space="preserve">　　</w:t>
      </w:r>
      <w:r w:rsidR="00014142" w:rsidRPr="00495E16">
        <w:rPr>
          <w:rFonts w:ascii="Times New Roman" w:eastAsia="標楷體" w:hAnsi="Times New Roman" w:hint="eastAsia"/>
          <w:color w:val="262626" w:themeColor="text1" w:themeTint="D9"/>
          <w:szCs w:val="24"/>
        </w:rPr>
        <w:t>VSA</w:t>
      </w:r>
      <w:r w:rsidR="00014142" w:rsidRPr="00495E16">
        <w:rPr>
          <w:rFonts w:ascii="Times New Roman" w:eastAsia="標楷體" w:hAnsi="Times New Roman" w:hint="eastAsia"/>
          <w:color w:val="262626" w:themeColor="text1" w:themeTint="D9"/>
          <w:szCs w:val="24"/>
        </w:rPr>
        <w:t>軟體通常用來向客戶推送軟體更新，這次被武器化來推送惡意</w:t>
      </w:r>
      <w:r w:rsidR="00014142" w:rsidRPr="00495E16">
        <w:rPr>
          <w:rFonts w:ascii="Times New Roman" w:eastAsia="標楷體" w:hAnsi="Times New Roman" w:hint="eastAsia"/>
          <w:color w:val="262626" w:themeColor="text1" w:themeTint="D9"/>
          <w:szCs w:val="24"/>
        </w:rPr>
        <w:t>PowerShell</w:t>
      </w:r>
      <w:r w:rsidR="00014142" w:rsidRPr="00495E16">
        <w:rPr>
          <w:rFonts w:ascii="Times New Roman" w:eastAsia="標楷體" w:hAnsi="Times New Roman" w:hint="eastAsia"/>
          <w:color w:val="262626" w:themeColor="text1" w:themeTint="D9"/>
          <w:szCs w:val="24"/>
        </w:rPr>
        <w:t>腳本，然後將</w:t>
      </w:r>
      <w:proofErr w:type="spellStart"/>
      <w:r w:rsidR="00014142" w:rsidRPr="00495E16">
        <w:rPr>
          <w:rFonts w:ascii="Times New Roman" w:eastAsia="標楷體" w:hAnsi="Times New Roman" w:hint="eastAsia"/>
          <w:color w:val="262626" w:themeColor="text1" w:themeTint="D9"/>
          <w:szCs w:val="24"/>
        </w:rPr>
        <w:t>REvil</w:t>
      </w:r>
      <w:proofErr w:type="spellEnd"/>
      <w:r w:rsidR="00014142" w:rsidRPr="00495E16">
        <w:rPr>
          <w:rFonts w:ascii="Times New Roman" w:eastAsia="標楷體" w:hAnsi="Times New Roman" w:hint="eastAsia"/>
          <w:color w:val="262626" w:themeColor="text1" w:themeTint="D9"/>
          <w:szCs w:val="24"/>
        </w:rPr>
        <w:t>勒索病毒載入客戶系統。重要的是要注意，非</w:t>
      </w:r>
      <w:r w:rsidR="00014142" w:rsidRPr="00495E16">
        <w:rPr>
          <w:rFonts w:ascii="Times New Roman" w:eastAsia="標楷體" w:hAnsi="Times New Roman" w:hint="eastAsia"/>
          <w:color w:val="262626" w:themeColor="text1" w:themeTint="D9"/>
          <w:szCs w:val="24"/>
        </w:rPr>
        <w:t>Kaseya</w:t>
      </w:r>
      <w:r w:rsidR="00014142" w:rsidRPr="00495E16">
        <w:rPr>
          <w:rFonts w:ascii="Times New Roman" w:eastAsia="標楷體" w:hAnsi="Times New Roman" w:hint="eastAsia"/>
          <w:color w:val="262626" w:themeColor="text1" w:themeTint="D9"/>
          <w:szCs w:val="24"/>
        </w:rPr>
        <w:t>客戶也可能因為服務商而遭受到影響。</w:t>
      </w:r>
    </w:p>
    <w:p w14:paraId="4D376CA8" w14:textId="77777777" w:rsidR="00014142" w:rsidRPr="00CE720C" w:rsidRDefault="00014142" w:rsidP="00495E16">
      <w:pPr>
        <w:jc w:val="both"/>
        <w:rPr>
          <w:rFonts w:ascii="Times New Roman" w:eastAsia="標楷體" w:hAnsi="Times New Roman"/>
          <w:color w:val="262626" w:themeColor="text1" w:themeTint="D9"/>
          <w:szCs w:val="24"/>
        </w:rPr>
      </w:pPr>
      <w:r w:rsidRPr="00CE720C">
        <w:rPr>
          <w:rFonts w:ascii="Times New Roman" w:eastAsia="標楷體" w:hAnsi="Times New Roman" w:hint="eastAsia"/>
          <w:color w:val="262626" w:themeColor="text1" w:themeTint="D9"/>
          <w:szCs w:val="24"/>
        </w:rPr>
        <w:t>攻擊</w:t>
      </w:r>
      <w:r w:rsidRPr="00CE720C">
        <w:rPr>
          <w:rFonts w:ascii="Times New Roman" w:eastAsia="標楷體" w:hAnsi="Times New Roman" w:hint="eastAsia"/>
          <w:color w:val="262626" w:themeColor="text1" w:themeTint="D9"/>
          <w:szCs w:val="24"/>
        </w:rPr>
        <w:t>Kaseya VSA</w:t>
      </w:r>
      <w:r w:rsidRPr="00CE720C">
        <w:rPr>
          <w:rFonts w:ascii="Times New Roman" w:eastAsia="標楷體" w:hAnsi="Times New Roman" w:hint="eastAsia"/>
          <w:color w:val="262626" w:themeColor="text1" w:themeTint="D9"/>
          <w:szCs w:val="24"/>
        </w:rPr>
        <w:t>的</w:t>
      </w:r>
      <w:proofErr w:type="spellStart"/>
      <w:r w:rsidRPr="00CE720C">
        <w:rPr>
          <w:rFonts w:ascii="Times New Roman" w:eastAsia="標楷體" w:hAnsi="Times New Roman" w:hint="eastAsia"/>
          <w:color w:val="262626" w:themeColor="text1" w:themeTint="D9"/>
          <w:szCs w:val="24"/>
        </w:rPr>
        <w:t>Sodinokibi</w:t>
      </w:r>
      <w:proofErr w:type="spellEnd"/>
      <w:r w:rsidRPr="00CE720C">
        <w:rPr>
          <w:rFonts w:ascii="Times New Roman" w:eastAsia="標楷體" w:hAnsi="Times New Roman" w:hint="eastAsia"/>
          <w:color w:val="262626" w:themeColor="text1" w:themeTint="D9"/>
          <w:szCs w:val="24"/>
        </w:rPr>
        <w:t>/</w:t>
      </w:r>
      <w:proofErr w:type="spellStart"/>
      <w:r w:rsidRPr="00CE720C">
        <w:rPr>
          <w:rFonts w:ascii="Times New Roman" w:eastAsia="標楷體" w:hAnsi="Times New Roman" w:hint="eastAsia"/>
          <w:color w:val="262626" w:themeColor="text1" w:themeTint="D9"/>
          <w:szCs w:val="24"/>
        </w:rPr>
        <w:t>REvil</w:t>
      </w:r>
      <w:proofErr w:type="spellEnd"/>
      <w:r w:rsidRPr="00CE720C">
        <w:rPr>
          <w:rFonts w:ascii="Times New Roman" w:eastAsia="標楷體" w:hAnsi="Times New Roman" w:hint="eastAsia"/>
          <w:color w:val="262626" w:themeColor="text1" w:themeTint="D9"/>
          <w:szCs w:val="24"/>
        </w:rPr>
        <w:t>勒索病毒</w:t>
      </w:r>
      <w:proofErr w:type="gramStart"/>
      <w:r w:rsidRPr="00CE720C">
        <w:rPr>
          <w:rFonts w:ascii="Times New Roman" w:eastAsia="標楷體" w:hAnsi="Times New Roman" w:hint="eastAsia"/>
          <w:color w:val="262626" w:themeColor="text1" w:themeTint="D9"/>
          <w:szCs w:val="24"/>
        </w:rPr>
        <w:t>（</w:t>
      </w:r>
      <w:proofErr w:type="gramEnd"/>
      <w:r w:rsidRPr="00CE720C">
        <w:rPr>
          <w:rFonts w:ascii="Times New Roman" w:eastAsia="標楷體" w:hAnsi="Times New Roman" w:hint="eastAsia"/>
          <w:color w:val="262626" w:themeColor="text1" w:themeTint="D9"/>
          <w:szCs w:val="24"/>
        </w:rPr>
        <w:t>偵測為</w:t>
      </w:r>
      <w:r w:rsidRPr="00CE720C">
        <w:rPr>
          <w:rFonts w:ascii="Times New Roman" w:eastAsia="標楷體" w:hAnsi="Times New Roman" w:hint="eastAsia"/>
          <w:color w:val="262626" w:themeColor="text1" w:themeTint="D9"/>
          <w:szCs w:val="24"/>
        </w:rPr>
        <w:t>Ransom.Win32.SODINOKIBI.YABGC</w:t>
      </w:r>
      <w:proofErr w:type="gramStart"/>
      <w:r w:rsidRPr="00CE720C">
        <w:rPr>
          <w:rFonts w:ascii="Times New Roman" w:eastAsia="標楷體" w:hAnsi="Times New Roman" w:hint="eastAsia"/>
          <w:color w:val="262626" w:themeColor="text1" w:themeTint="D9"/>
          <w:szCs w:val="24"/>
        </w:rPr>
        <w:t>）</w:t>
      </w:r>
      <w:proofErr w:type="gramEnd"/>
      <w:r w:rsidRPr="00CE720C">
        <w:rPr>
          <w:rFonts w:ascii="Times New Roman" w:eastAsia="標楷體" w:hAnsi="Times New Roman" w:hint="eastAsia"/>
          <w:color w:val="262626" w:themeColor="text1" w:themeTint="D9"/>
          <w:szCs w:val="24"/>
        </w:rPr>
        <w:t>會停用某些服務並終止正常軟體（如瀏覽器和生產力工具）相關的程序。具體來說，它會終止下列程序：</w:t>
      </w:r>
    </w:p>
    <w:p w14:paraId="62503E86" w14:textId="77777777" w:rsidR="00533F56" w:rsidRPr="00CE720C" w:rsidRDefault="00533F56" w:rsidP="00533F56">
      <w:pPr>
        <w:jc w:val="both"/>
        <w:rPr>
          <w:rFonts w:ascii="Times New Roman" w:eastAsia="標楷體" w:hAnsi="Times New Roman" w:hint="eastAsia"/>
          <w:color w:val="262626" w:themeColor="text1" w:themeTint="D9"/>
          <w:szCs w:val="24"/>
        </w:rPr>
      </w:pPr>
    </w:p>
    <w:p w14:paraId="3B7B7E2F" w14:textId="77777777" w:rsidR="00533F56" w:rsidRPr="00CE720C" w:rsidRDefault="00533F56" w:rsidP="00014142">
      <w:pPr>
        <w:rPr>
          <w:rFonts w:ascii="Times New Roman" w:eastAsia="標楷體" w:hAnsi="Times New Roman"/>
          <w:color w:val="262626" w:themeColor="text1" w:themeTint="D9"/>
          <w:sz w:val="20"/>
          <w:szCs w:val="24"/>
        </w:rPr>
        <w:sectPr w:rsidR="00533F56" w:rsidRPr="00CE720C" w:rsidSect="00CE720C">
          <w:type w:val="continuous"/>
          <w:pgSz w:w="11906" w:h="16838"/>
          <w:pgMar w:top="1440" w:right="1080" w:bottom="1440" w:left="1080" w:header="851" w:footer="992" w:gutter="0"/>
          <w:cols w:space="425"/>
          <w:docGrid w:type="lines" w:linePitch="360"/>
        </w:sectPr>
      </w:pPr>
    </w:p>
    <w:p w14:paraId="0BA4B34F"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agntsvc</w:t>
      </w:r>
      <w:proofErr w:type="spellEnd"/>
    </w:p>
    <w:p w14:paraId="487F9632"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dbeng50</w:t>
      </w:r>
    </w:p>
    <w:p w14:paraId="61B1D45A"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dbsnmp</w:t>
      </w:r>
      <w:proofErr w:type="spellEnd"/>
    </w:p>
    <w:p w14:paraId="7E2C78E0"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encsvc</w:t>
      </w:r>
      <w:proofErr w:type="spellEnd"/>
    </w:p>
    <w:p w14:paraId="0B263711"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excel</w:t>
      </w:r>
    </w:p>
    <w:p w14:paraId="541B4D3C"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firefox</w:t>
      </w:r>
      <w:proofErr w:type="spellEnd"/>
    </w:p>
    <w:p w14:paraId="366ECA45"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infopath</w:t>
      </w:r>
      <w:proofErr w:type="spellEnd"/>
    </w:p>
    <w:p w14:paraId="535279E1"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isqlplussvc</w:t>
      </w:r>
      <w:proofErr w:type="spellEnd"/>
    </w:p>
    <w:p w14:paraId="1E1A8B26"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msaccess</w:t>
      </w:r>
      <w:proofErr w:type="spellEnd"/>
    </w:p>
    <w:p w14:paraId="7B59058C"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mspub</w:t>
      </w:r>
      <w:proofErr w:type="spellEnd"/>
    </w:p>
    <w:p w14:paraId="2136B669"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mydesktopqos</w:t>
      </w:r>
      <w:proofErr w:type="spellEnd"/>
    </w:p>
    <w:p w14:paraId="4B009902"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mydesktopservice</w:t>
      </w:r>
      <w:proofErr w:type="spellEnd"/>
    </w:p>
    <w:p w14:paraId="70FACAC6"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ocautoupds</w:t>
      </w:r>
      <w:proofErr w:type="spellEnd"/>
    </w:p>
    <w:p w14:paraId="60420118"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ocomm</w:t>
      </w:r>
      <w:proofErr w:type="spellEnd"/>
    </w:p>
    <w:p w14:paraId="5F30D699"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ocssd</w:t>
      </w:r>
      <w:proofErr w:type="spellEnd"/>
    </w:p>
    <w:p w14:paraId="6FA5A676"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onenote</w:t>
      </w:r>
      <w:proofErr w:type="spellEnd"/>
    </w:p>
    <w:p w14:paraId="40EFF8E0"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oracle</w:t>
      </w:r>
    </w:p>
    <w:p w14:paraId="512B7487"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outlook</w:t>
      </w:r>
    </w:p>
    <w:p w14:paraId="0B224001"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powerpnt</w:t>
      </w:r>
      <w:proofErr w:type="spellEnd"/>
    </w:p>
    <w:p w14:paraId="3BFE1B7D"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sqbcoreservice</w:t>
      </w:r>
      <w:proofErr w:type="spellEnd"/>
    </w:p>
    <w:p w14:paraId="1E715BEF"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sql</w:t>
      </w:r>
      <w:proofErr w:type="spellEnd"/>
    </w:p>
    <w:p w14:paraId="7DE0AB46"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steam</w:t>
      </w:r>
    </w:p>
    <w:p w14:paraId="2F179943"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synctime</w:t>
      </w:r>
      <w:proofErr w:type="spellEnd"/>
    </w:p>
    <w:p w14:paraId="375F6A7E"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tbirdconfig</w:t>
      </w:r>
      <w:proofErr w:type="spellEnd"/>
    </w:p>
    <w:p w14:paraId="628544BB"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thebat</w:t>
      </w:r>
      <w:proofErr w:type="spellEnd"/>
    </w:p>
    <w:p w14:paraId="2DAA956C"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thunderbird</w:t>
      </w:r>
    </w:p>
    <w:p w14:paraId="043321C3"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visio</w:t>
      </w:r>
      <w:proofErr w:type="spellEnd"/>
    </w:p>
    <w:p w14:paraId="38A2DAEE"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winword</w:t>
      </w:r>
      <w:proofErr w:type="spellEnd"/>
    </w:p>
    <w:p w14:paraId="5AB5B2ED" w14:textId="77777777" w:rsidR="00014142" w:rsidRPr="00CE720C" w:rsidRDefault="00014142" w:rsidP="00533F56">
      <w:pPr>
        <w:pStyle w:val="a3"/>
        <w:numPr>
          <w:ilvl w:val="0"/>
          <w:numId w:val="3"/>
        </w:numPr>
        <w:ind w:leftChars="0"/>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wordpad</w:t>
      </w:r>
      <w:proofErr w:type="spellEnd"/>
    </w:p>
    <w:p w14:paraId="079E1F78" w14:textId="77777777" w:rsidR="00533F56" w:rsidRPr="00CE720C" w:rsidRDefault="00014142" w:rsidP="00014142">
      <w:pPr>
        <w:pStyle w:val="a3"/>
        <w:numPr>
          <w:ilvl w:val="0"/>
          <w:numId w:val="3"/>
        </w:numPr>
        <w:ind w:leftChars="0"/>
        <w:rPr>
          <w:rFonts w:ascii="Times New Roman" w:eastAsia="標楷體" w:hAnsi="Times New Roman" w:hint="eastAsia"/>
          <w:color w:val="262626" w:themeColor="text1" w:themeTint="D9"/>
          <w:sz w:val="20"/>
          <w:szCs w:val="24"/>
        </w:rPr>
        <w:sectPr w:rsidR="00533F56" w:rsidRPr="00CE720C" w:rsidSect="00CE720C">
          <w:type w:val="continuous"/>
          <w:pgSz w:w="11906" w:h="16838"/>
          <w:pgMar w:top="1440" w:right="1080" w:bottom="1440" w:left="1080" w:header="851" w:footer="992" w:gutter="0"/>
          <w:cols w:num="3" w:space="426"/>
          <w:docGrid w:type="lines" w:linePitch="360"/>
        </w:sectPr>
      </w:pPr>
      <w:proofErr w:type="spellStart"/>
      <w:r w:rsidRPr="00CE720C">
        <w:rPr>
          <w:rFonts w:ascii="Times New Roman" w:eastAsia="標楷體" w:hAnsi="Times New Roman"/>
          <w:color w:val="262626" w:themeColor="text1" w:themeTint="D9"/>
          <w:sz w:val="20"/>
          <w:szCs w:val="24"/>
        </w:rPr>
        <w:t>xfssvcco</w:t>
      </w:r>
      <w:proofErr w:type="spellEnd"/>
    </w:p>
    <w:p w14:paraId="5829EB40" w14:textId="77777777" w:rsidR="00CE720C" w:rsidRDefault="00CE720C" w:rsidP="00014142">
      <w:pPr>
        <w:rPr>
          <w:rFonts w:ascii="Times New Roman" w:eastAsia="標楷體" w:hAnsi="Times New Roman"/>
          <w:color w:val="262626" w:themeColor="text1" w:themeTint="D9"/>
          <w:szCs w:val="24"/>
        </w:rPr>
        <w:sectPr w:rsidR="00CE720C" w:rsidSect="00CE720C">
          <w:type w:val="continuous"/>
          <w:pgSz w:w="11906" w:h="16838"/>
          <w:pgMar w:top="1440" w:right="1080" w:bottom="1440" w:left="1080" w:header="851" w:footer="992" w:gutter="0"/>
          <w:cols w:space="425"/>
          <w:docGrid w:type="lines" w:linePitch="360"/>
        </w:sectPr>
      </w:pPr>
    </w:p>
    <w:p w14:paraId="5B32D9FA" w14:textId="77777777" w:rsidR="00CE720C" w:rsidRDefault="00CE720C" w:rsidP="00014142">
      <w:pPr>
        <w:rPr>
          <w:rFonts w:ascii="Times New Roman" w:eastAsia="標楷體" w:hAnsi="Times New Roman"/>
          <w:color w:val="262626" w:themeColor="text1" w:themeTint="D9"/>
          <w:szCs w:val="24"/>
        </w:rPr>
      </w:pPr>
    </w:p>
    <w:p w14:paraId="48E142F5" w14:textId="77777777" w:rsidR="00CE720C" w:rsidRPr="00CE720C" w:rsidRDefault="00CE720C" w:rsidP="00014142">
      <w:pPr>
        <w:rPr>
          <w:rFonts w:ascii="Times New Roman" w:eastAsia="標楷體" w:hAnsi="Times New Roman" w:hint="eastAsia"/>
          <w:color w:val="262626" w:themeColor="text1" w:themeTint="D9"/>
          <w:szCs w:val="24"/>
        </w:rPr>
      </w:pPr>
    </w:p>
    <w:p w14:paraId="04D28381" w14:textId="77777777" w:rsidR="00014142" w:rsidRPr="00CE720C" w:rsidRDefault="00014142" w:rsidP="00CE720C">
      <w:pPr>
        <w:jc w:val="both"/>
        <w:rPr>
          <w:rFonts w:ascii="Times New Roman" w:eastAsia="標楷體" w:hAnsi="Times New Roman" w:hint="eastAsia"/>
          <w:color w:val="262626" w:themeColor="text1" w:themeTint="D9"/>
          <w:szCs w:val="24"/>
        </w:rPr>
      </w:pPr>
      <w:proofErr w:type="spellStart"/>
      <w:r w:rsidRPr="00CE720C">
        <w:rPr>
          <w:rFonts w:ascii="Times New Roman" w:eastAsia="標楷體" w:hAnsi="Times New Roman" w:hint="eastAsia"/>
          <w:color w:val="262626" w:themeColor="text1" w:themeTint="D9"/>
          <w:szCs w:val="24"/>
        </w:rPr>
        <w:lastRenderedPageBreak/>
        <w:t>Sodinokibi</w:t>
      </w:r>
      <w:proofErr w:type="spellEnd"/>
      <w:r w:rsidRPr="00CE720C">
        <w:rPr>
          <w:rFonts w:ascii="Times New Roman" w:eastAsia="標楷體" w:hAnsi="Times New Roman" w:hint="eastAsia"/>
          <w:color w:val="262626" w:themeColor="text1" w:themeTint="D9"/>
          <w:szCs w:val="24"/>
        </w:rPr>
        <w:t>偵測到作業系統語系為下列任何一種語言，則會自行終止：</w:t>
      </w:r>
    </w:p>
    <w:p w14:paraId="1B0B9ED1" w14:textId="77777777" w:rsidR="00533F56" w:rsidRPr="00CE720C" w:rsidRDefault="00533F56" w:rsidP="00CE720C">
      <w:pPr>
        <w:jc w:val="both"/>
        <w:rPr>
          <w:rFonts w:ascii="Times New Roman" w:eastAsia="標楷體" w:hAnsi="Times New Roman"/>
          <w:color w:val="262626" w:themeColor="text1" w:themeTint="D9"/>
          <w:szCs w:val="24"/>
        </w:rPr>
      </w:pPr>
    </w:p>
    <w:p w14:paraId="27D87F2F" w14:textId="77777777" w:rsidR="00CE720C" w:rsidRPr="00CE720C" w:rsidRDefault="00CE720C" w:rsidP="00CE720C">
      <w:pPr>
        <w:jc w:val="both"/>
        <w:rPr>
          <w:rFonts w:ascii="Times New Roman" w:eastAsia="標楷體" w:hAnsi="Times New Roman" w:hint="eastAsia"/>
          <w:color w:val="262626" w:themeColor="text1" w:themeTint="D9"/>
          <w:szCs w:val="24"/>
        </w:rPr>
        <w:sectPr w:rsidR="00CE720C" w:rsidRPr="00CE720C" w:rsidSect="00CE720C">
          <w:type w:val="continuous"/>
          <w:pgSz w:w="11906" w:h="16838"/>
          <w:pgMar w:top="1440" w:right="1080" w:bottom="1440" w:left="1080" w:header="851" w:footer="992" w:gutter="0"/>
          <w:cols w:space="425"/>
          <w:docGrid w:type="lines" w:linePitch="360"/>
        </w:sectPr>
      </w:pPr>
    </w:p>
    <w:p w14:paraId="3793FDF3"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Arabic – Syria</w:t>
      </w:r>
    </w:p>
    <w:p w14:paraId="43821EE1"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Armenian Eastern</w:t>
      </w:r>
    </w:p>
    <w:p w14:paraId="71E78224"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Azeri Cyrillic</w:t>
      </w:r>
    </w:p>
    <w:p w14:paraId="59788834"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Azeri Latin</w:t>
      </w:r>
    </w:p>
    <w:p w14:paraId="000E06BD"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Belarusian</w:t>
      </w:r>
    </w:p>
    <w:p w14:paraId="35253DF4"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Georgian</w:t>
      </w:r>
    </w:p>
    <w:p w14:paraId="70C68372"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Kazakh</w:t>
      </w:r>
    </w:p>
    <w:p w14:paraId="0AAD90AC"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Kyrgyz Cyrillic</w:t>
      </w:r>
    </w:p>
    <w:p w14:paraId="3F93CB76"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Romanian – Moldova</w:t>
      </w:r>
    </w:p>
    <w:p w14:paraId="23F13174"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Russian</w:t>
      </w:r>
    </w:p>
    <w:p w14:paraId="770302D5"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Russian – Moldova</w:t>
      </w:r>
    </w:p>
    <w:p w14:paraId="4990A176"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Syriac</w:t>
      </w:r>
    </w:p>
    <w:p w14:paraId="4C8EFDEA"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Tajik</w:t>
      </w:r>
    </w:p>
    <w:p w14:paraId="24AFCFE1"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Tatar</w:t>
      </w:r>
    </w:p>
    <w:p w14:paraId="07C6A45D"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Turkmen</w:t>
      </w:r>
    </w:p>
    <w:p w14:paraId="6A9C2B0C"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proofErr w:type="spellStart"/>
      <w:r w:rsidRPr="00CE720C">
        <w:rPr>
          <w:rFonts w:ascii="Times New Roman" w:eastAsia="標楷體" w:hAnsi="Times New Roman"/>
          <w:color w:val="262626" w:themeColor="text1" w:themeTint="D9"/>
          <w:sz w:val="20"/>
          <w:szCs w:val="24"/>
        </w:rPr>
        <w:t>Ukranian</w:t>
      </w:r>
      <w:proofErr w:type="spellEnd"/>
    </w:p>
    <w:p w14:paraId="042C4C19" w14:textId="77777777" w:rsidR="00014142"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pPr>
      <w:r w:rsidRPr="00CE720C">
        <w:rPr>
          <w:rFonts w:ascii="Times New Roman" w:eastAsia="標楷體" w:hAnsi="Times New Roman"/>
          <w:color w:val="262626" w:themeColor="text1" w:themeTint="D9"/>
          <w:sz w:val="20"/>
          <w:szCs w:val="24"/>
        </w:rPr>
        <w:t>Uzbek Cyrillic</w:t>
      </w:r>
    </w:p>
    <w:p w14:paraId="326FFB4D" w14:textId="77777777" w:rsidR="00533F56" w:rsidRPr="00CE720C" w:rsidRDefault="00014142" w:rsidP="00CE720C">
      <w:pPr>
        <w:pStyle w:val="a3"/>
        <w:numPr>
          <w:ilvl w:val="0"/>
          <w:numId w:val="4"/>
        </w:numPr>
        <w:ind w:leftChars="0"/>
        <w:jc w:val="both"/>
        <w:rPr>
          <w:rFonts w:ascii="Times New Roman" w:eastAsia="標楷體" w:hAnsi="Times New Roman"/>
          <w:color w:val="262626" w:themeColor="text1" w:themeTint="D9"/>
          <w:sz w:val="20"/>
          <w:szCs w:val="24"/>
        </w:rPr>
        <w:sectPr w:rsidR="00533F56" w:rsidRPr="00CE720C" w:rsidSect="00CE720C">
          <w:type w:val="continuous"/>
          <w:pgSz w:w="11906" w:h="16838"/>
          <w:pgMar w:top="1440" w:right="1080" w:bottom="1440" w:left="1080" w:header="851" w:footer="992" w:gutter="0"/>
          <w:cols w:num="3" w:space="426"/>
          <w:docGrid w:type="lines" w:linePitch="360"/>
        </w:sectPr>
      </w:pPr>
      <w:r w:rsidRPr="00CE720C">
        <w:rPr>
          <w:rFonts w:ascii="Times New Roman" w:eastAsia="標楷體" w:hAnsi="Times New Roman"/>
          <w:color w:val="262626" w:themeColor="text1" w:themeTint="D9"/>
          <w:sz w:val="20"/>
          <w:szCs w:val="24"/>
        </w:rPr>
        <w:t>Uzbek Latin</w:t>
      </w:r>
    </w:p>
    <w:p w14:paraId="0D0896DC" w14:textId="77777777" w:rsidR="00014142" w:rsidRDefault="00533F56" w:rsidP="00495E16">
      <w:pPr>
        <w:tabs>
          <w:tab w:val="left" w:pos="1843"/>
        </w:tabs>
        <w:jc w:val="both"/>
        <w:rPr>
          <w:rFonts w:ascii="Times New Roman" w:eastAsia="標楷體" w:hAnsi="Times New Roman"/>
          <w:color w:val="262626" w:themeColor="text1" w:themeTint="D9"/>
          <w:szCs w:val="24"/>
        </w:rPr>
      </w:pPr>
      <w:r w:rsidRPr="00CE720C">
        <w:rPr>
          <w:rFonts w:ascii="Times New Roman" w:eastAsia="標楷體" w:hAnsi="Times New Roman"/>
          <w:color w:val="262626" w:themeColor="text1" w:themeTint="D9"/>
          <w:szCs w:val="24"/>
        </w:rPr>
        <w:tab/>
      </w:r>
    </w:p>
    <w:p w14:paraId="1D904041" w14:textId="77777777" w:rsidR="00495E16" w:rsidRPr="00495E16" w:rsidRDefault="00495E16" w:rsidP="00495E16">
      <w:pPr>
        <w:tabs>
          <w:tab w:val="left" w:pos="1843"/>
        </w:tabs>
        <w:jc w:val="both"/>
        <w:rPr>
          <w:rFonts w:ascii="Times New Roman" w:eastAsia="標楷體" w:hAnsi="Times New Roman"/>
          <w:b/>
          <w:color w:val="C00000"/>
          <w:sz w:val="20"/>
          <w:szCs w:val="24"/>
        </w:rPr>
      </w:pPr>
      <w:r w:rsidRPr="00495E16">
        <w:rPr>
          <w:rFonts w:ascii="Times New Roman" w:eastAsia="標楷體" w:hAnsi="Times New Roman"/>
          <w:b/>
          <w:color w:val="C00000"/>
          <w:sz w:val="20"/>
          <w:szCs w:val="24"/>
        </w:rPr>
        <w:t>*</w:t>
      </w:r>
      <w:proofErr w:type="spellStart"/>
      <w:r w:rsidRPr="00495E16">
        <w:rPr>
          <w:rFonts w:ascii="Times New Roman" w:eastAsia="標楷體" w:hAnsi="Times New Roman" w:hint="eastAsia"/>
          <w:b/>
          <w:color w:val="C00000"/>
          <w:sz w:val="20"/>
          <w:szCs w:val="24"/>
        </w:rPr>
        <w:t>REvil</w:t>
      </w:r>
      <w:proofErr w:type="spellEnd"/>
      <w:r w:rsidRPr="00495E16">
        <w:rPr>
          <w:rFonts w:ascii="Times New Roman" w:eastAsia="標楷體" w:hAnsi="Times New Roman" w:hint="eastAsia"/>
          <w:b/>
          <w:color w:val="C00000"/>
          <w:sz w:val="20"/>
          <w:szCs w:val="24"/>
        </w:rPr>
        <w:t>勒索病毒被認為是</w:t>
      </w:r>
      <w:proofErr w:type="spellStart"/>
      <w:r w:rsidRPr="00495E16">
        <w:rPr>
          <w:rFonts w:ascii="Times New Roman" w:eastAsia="標楷體" w:hAnsi="Times New Roman" w:hint="eastAsia"/>
          <w:b/>
          <w:color w:val="C00000"/>
          <w:sz w:val="20"/>
          <w:szCs w:val="24"/>
        </w:rPr>
        <w:t>GandCrab</w:t>
      </w:r>
      <w:proofErr w:type="spellEnd"/>
      <w:r w:rsidRPr="00495E16">
        <w:rPr>
          <w:rFonts w:ascii="Times New Roman" w:eastAsia="標楷體" w:hAnsi="Times New Roman" w:hint="eastAsia"/>
          <w:b/>
          <w:color w:val="C00000"/>
          <w:sz w:val="20"/>
          <w:szCs w:val="24"/>
        </w:rPr>
        <w:t>的後繼任，以針對高知名受害者和採用雙重勒索策略迫使受害者支付贖金而聞名。</w:t>
      </w:r>
    </w:p>
    <w:p w14:paraId="41FDB848" w14:textId="77777777" w:rsidR="00495E16" w:rsidRPr="00495E16" w:rsidRDefault="00495E16" w:rsidP="00495E16">
      <w:pPr>
        <w:tabs>
          <w:tab w:val="left" w:pos="1843"/>
        </w:tabs>
        <w:jc w:val="both"/>
        <w:rPr>
          <w:rFonts w:ascii="Times New Roman" w:eastAsia="標楷體" w:hAnsi="Times New Roman" w:hint="eastAsia"/>
          <w:color w:val="262626" w:themeColor="text1" w:themeTint="D9"/>
          <w:szCs w:val="24"/>
        </w:rPr>
      </w:pPr>
    </w:p>
    <w:p w14:paraId="3D93849D" w14:textId="77777777" w:rsidR="00014142" w:rsidRPr="00495E16" w:rsidRDefault="00014142" w:rsidP="00CE720C">
      <w:pPr>
        <w:jc w:val="both"/>
        <w:rPr>
          <w:rFonts w:ascii="Times New Roman" w:eastAsia="標楷體" w:hAnsi="Times New Roman" w:hint="eastAsia"/>
          <w:b/>
          <w:color w:val="C00000"/>
          <w:szCs w:val="24"/>
        </w:rPr>
      </w:pPr>
      <w:bookmarkStart w:id="0" w:name="_GoBack"/>
      <w:r w:rsidRPr="00495E16">
        <w:rPr>
          <w:rFonts w:ascii="Times New Roman" w:eastAsia="標楷體" w:hAnsi="Times New Roman" w:hint="eastAsia"/>
          <w:b/>
          <w:color w:val="C00000"/>
          <w:szCs w:val="24"/>
        </w:rPr>
        <w:t>安全建議：</w:t>
      </w:r>
    </w:p>
    <w:bookmarkEnd w:id="0"/>
    <w:p w14:paraId="5F53486F" w14:textId="77777777" w:rsidR="00533F56" w:rsidRPr="00CE720C" w:rsidRDefault="00533F56" w:rsidP="00CE720C">
      <w:pPr>
        <w:ind w:firstLineChars="200" w:firstLine="480"/>
        <w:jc w:val="both"/>
        <w:rPr>
          <w:rFonts w:ascii="Times New Roman" w:eastAsia="標楷體" w:hAnsi="Times New Roman" w:hint="eastAsia"/>
          <w:color w:val="262626" w:themeColor="text1" w:themeTint="D9"/>
          <w:szCs w:val="24"/>
        </w:rPr>
      </w:pPr>
      <w:r w:rsidRPr="00CE720C">
        <w:rPr>
          <w:rFonts w:ascii="Times New Roman" w:eastAsia="標楷體" w:hAnsi="Times New Roman" w:hint="eastAsia"/>
          <w:color w:val="262626" w:themeColor="text1" w:themeTint="D9"/>
          <w:szCs w:val="24"/>
        </w:rPr>
        <w:t>因為勒索病毒可能具備多重進入點和加密功能，所以企業必須擁有良好的備份策略和多層次安全防護來保衛其網路並保護其關鍵業務資料：</w:t>
      </w:r>
    </w:p>
    <w:p w14:paraId="190EBC85" w14:textId="77777777" w:rsidR="00533F56" w:rsidRPr="00CE720C" w:rsidRDefault="00533F56" w:rsidP="00CE720C">
      <w:pPr>
        <w:jc w:val="both"/>
        <w:rPr>
          <w:rFonts w:ascii="Times New Roman" w:eastAsia="標楷體" w:hAnsi="Times New Roman"/>
          <w:color w:val="262626" w:themeColor="text1" w:themeTint="D9"/>
          <w:szCs w:val="24"/>
        </w:rPr>
      </w:pPr>
    </w:p>
    <w:p w14:paraId="6562E6E6" w14:textId="77777777" w:rsidR="00533F56" w:rsidRPr="00CE720C" w:rsidRDefault="00533F56" w:rsidP="00CE720C">
      <w:pPr>
        <w:pStyle w:val="a3"/>
        <w:numPr>
          <w:ilvl w:val="0"/>
          <w:numId w:val="8"/>
        </w:numPr>
        <w:ind w:leftChars="0"/>
        <w:jc w:val="both"/>
        <w:rPr>
          <w:rFonts w:ascii="Times New Roman" w:eastAsia="標楷體" w:hAnsi="Times New Roman" w:hint="eastAsia"/>
          <w:color w:val="262626" w:themeColor="text1" w:themeTint="D9"/>
          <w:szCs w:val="24"/>
        </w:rPr>
      </w:pPr>
      <w:r w:rsidRPr="00CE720C">
        <w:rPr>
          <w:rFonts w:ascii="Times New Roman" w:eastAsia="標楷體" w:hAnsi="Times New Roman" w:hint="eastAsia"/>
          <w:color w:val="262626" w:themeColor="text1" w:themeTint="D9"/>
          <w:szCs w:val="24"/>
        </w:rPr>
        <w:t>電子郵件和網頁防護技術能夠封鎖垃圾郵件和惡意連結來防止勒索病毒進入你的網路。</w:t>
      </w:r>
    </w:p>
    <w:p w14:paraId="1E40E251" w14:textId="77777777" w:rsidR="00533F56" w:rsidRPr="00CE720C" w:rsidRDefault="00533F56" w:rsidP="00CE720C">
      <w:pPr>
        <w:pStyle w:val="a3"/>
        <w:numPr>
          <w:ilvl w:val="0"/>
          <w:numId w:val="8"/>
        </w:numPr>
        <w:ind w:leftChars="0"/>
        <w:jc w:val="both"/>
        <w:rPr>
          <w:rFonts w:ascii="Times New Roman" w:eastAsia="標楷體" w:hAnsi="Times New Roman" w:hint="eastAsia"/>
          <w:color w:val="262626" w:themeColor="text1" w:themeTint="D9"/>
          <w:szCs w:val="24"/>
        </w:rPr>
      </w:pPr>
      <w:r w:rsidRPr="00CE720C">
        <w:rPr>
          <w:rFonts w:ascii="Times New Roman" w:eastAsia="標楷體" w:hAnsi="Times New Roman" w:hint="eastAsia"/>
          <w:color w:val="262626" w:themeColor="text1" w:themeTint="D9"/>
          <w:szCs w:val="24"/>
        </w:rPr>
        <w:t>伺服器防護技術能夠保護伺服器抵禦漏洞攻擊。</w:t>
      </w:r>
    </w:p>
    <w:p w14:paraId="3A371252" w14:textId="77777777" w:rsidR="00533F56" w:rsidRPr="00CE720C" w:rsidRDefault="00533F56" w:rsidP="00CE720C">
      <w:pPr>
        <w:pStyle w:val="a3"/>
        <w:numPr>
          <w:ilvl w:val="0"/>
          <w:numId w:val="8"/>
        </w:numPr>
        <w:ind w:leftChars="0"/>
        <w:jc w:val="both"/>
        <w:rPr>
          <w:rFonts w:ascii="Times New Roman" w:eastAsia="標楷體" w:hAnsi="Times New Roman" w:hint="eastAsia"/>
          <w:color w:val="262626" w:themeColor="text1" w:themeTint="D9"/>
          <w:szCs w:val="24"/>
        </w:rPr>
      </w:pPr>
      <w:r w:rsidRPr="00CE720C">
        <w:rPr>
          <w:rFonts w:ascii="Times New Roman" w:eastAsia="標楷體" w:hAnsi="Times New Roman" w:hint="eastAsia"/>
          <w:color w:val="262626" w:themeColor="text1" w:themeTint="D9"/>
          <w:szCs w:val="24"/>
        </w:rPr>
        <w:t>網路防護技術能夠防止勒索病毒從伺服器散播到端點或在端點間散播來保護你的網路。</w:t>
      </w:r>
    </w:p>
    <w:p w14:paraId="6DC6A5E8" w14:textId="77777777" w:rsidR="00B9588C" w:rsidRPr="00CE720C" w:rsidRDefault="00533F56" w:rsidP="00CE720C">
      <w:pPr>
        <w:pStyle w:val="a3"/>
        <w:numPr>
          <w:ilvl w:val="0"/>
          <w:numId w:val="8"/>
        </w:numPr>
        <w:ind w:leftChars="0"/>
        <w:jc w:val="both"/>
        <w:rPr>
          <w:rFonts w:ascii="Times New Roman" w:eastAsia="標楷體" w:hAnsi="Times New Roman"/>
          <w:color w:val="262626" w:themeColor="text1" w:themeTint="D9"/>
          <w:szCs w:val="24"/>
        </w:rPr>
      </w:pPr>
      <w:r w:rsidRPr="00CE720C">
        <w:rPr>
          <w:rFonts w:ascii="Times New Roman" w:eastAsia="標楷體" w:hAnsi="Times New Roman" w:hint="eastAsia"/>
          <w:color w:val="262626" w:themeColor="text1" w:themeTint="D9"/>
          <w:szCs w:val="24"/>
        </w:rPr>
        <w:t>端點防護技術可以防止勒索病毒執行來保護端點系統。</w:t>
      </w:r>
    </w:p>
    <w:sectPr w:rsidR="00B9588C" w:rsidRPr="00CE720C" w:rsidSect="00CE720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8C7C" w14:textId="77777777" w:rsidR="00CE720C" w:rsidRDefault="00CE720C" w:rsidP="00CE720C">
      <w:r>
        <w:separator/>
      </w:r>
    </w:p>
  </w:endnote>
  <w:endnote w:type="continuationSeparator" w:id="0">
    <w:p w14:paraId="432D3DB7" w14:textId="77777777" w:rsidR="00CE720C" w:rsidRDefault="00CE720C" w:rsidP="00CE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CA2FF" w14:textId="77777777" w:rsidR="00CE720C" w:rsidRDefault="00CE720C" w:rsidP="00CE720C">
      <w:r>
        <w:separator/>
      </w:r>
    </w:p>
  </w:footnote>
  <w:footnote w:type="continuationSeparator" w:id="0">
    <w:p w14:paraId="10D6FCD8" w14:textId="77777777" w:rsidR="00CE720C" w:rsidRDefault="00CE720C" w:rsidP="00CE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A7CF3" w14:textId="77777777" w:rsidR="00CE720C" w:rsidRPr="00CE720C" w:rsidRDefault="00CE720C" w:rsidP="00CE720C">
    <w:pPr>
      <w:pStyle w:val="a4"/>
      <w:jc w:val="right"/>
      <w:rPr>
        <w:rFonts w:ascii="Times New Roman" w:eastAsia="標楷體" w:hAnsi="Times New Roman"/>
        <w:color w:val="0D0D0D" w:themeColor="text1" w:themeTint="F2"/>
        <w:sz w:val="24"/>
      </w:rPr>
    </w:pPr>
    <w:r w:rsidRPr="00CE720C">
      <w:rPr>
        <w:rFonts w:ascii="Times New Roman" w:eastAsia="標楷體" w:hAnsi="Times New Roman" w:hint="eastAsia"/>
        <w:color w:val="0D0D0D" w:themeColor="text1" w:themeTint="F2"/>
        <w:sz w:val="24"/>
      </w:rPr>
      <w:t>資財三乙</w:t>
    </w:r>
    <w:r w:rsidRPr="00CE720C">
      <w:rPr>
        <w:rFonts w:ascii="Times New Roman" w:eastAsia="標楷體" w:hAnsi="Times New Roman" w:hint="eastAsia"/>
        <w:color w:val="0D0D0D" w:themeColor="text1" w:themeTint="F2"/>
        <w:sz w:val="24"/>
      </w:rPr>
      <w:t xml:space="preserve"> </w:t>
    </w:r>
    <w:r w:rsidRPr="00CE720C">
      <w:rPr>
        <w:rFonts w:ascii="Times New Roman" w:eastAsia="標楷體" w:hAnsi="Times New Roman"/>
        <w:color w:val="0D0D0D" w:themeColor="text1" w:themeTint="F2"/>
        <w:sz w:val="24"/>
      </w:rPr>
      <w:t xml:space="preserve">108AB0723 </w:t>
    </w:r>
    <w:r w:rsidRPr="00CE720C">
      <w:rPr>
        <w:rFonts w:ascii="Times New Roman" w:eastAsia="標楷體" w:hAnsi="Times New Roman" w:hint="eastAsia"/>
        <w:color w:val="0D0D0D" w:themeColor="text1" w:themeTint="F2"/>
        <w:sz w:val="24"/>
      </w:rPr>
      <w:t>詹佩庭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C99"/>
    <w:multiLevelType w:val="hybridMultilevel"/>
    <w:tmpl w:val="CC1006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053CD5"/>
    <w:multiLevelType w:val="hybridMultilevel"/>
    <w:tmpl w:val="F6FA8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4B0092"/>
    <w:multiLevelType w:val="hybridMultilevel"/>
    <w:tmpl w:val="2318CF0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9A56934"/>
    <w:multiLevelType w:val="hybridMultilevel"/>
    <w:tmpl w:val="4B60FE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792C48"/>
    <w:multiLevelType w:val="hybridMultilevel"/>
    <w:tmpl w:val="01A8044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FE50EAF"/>
    <w:multiLevelType w:val="hybridMultilevel"/>
    <w:tmpl w:val="F0B638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9F70296"/>
    <w:multiLevelType w:val="hybridMultilevel"/>
    <w:tmpl w:val="CCB621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A5C1D5E"/>
    <w:multiLevelType w:val="hybridMultilevel"/>
    <w:tmpl w:val="CC322E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42"/>
    <w:rsid w:val="00014142"/>
    <w:rsid w:val="00495E16"/>
    <w:rsid w:val="00533F56"/>
    <w:rsid w:val="00B9588C"/>
    <w:rsid w:val="00CE7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75F5"/>
  <w15:chartTrackingRefBased/>
  <w15:docId w15:val="{91AF4E3D-5EB7-4C2F-B7AB-0440D561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F56"/>
    <w:pPr>
      <w:ind w:leftChars="200" w:left="480"/>
    </w:pPr>
  </w:style>
  <w:style w:type="paragraph" w:styleId="a4">
    <w:name w:val="header"/>
    <w:basedOn w:val="a"/>
    <w:link w:val="a5"/>
    <w:uiPriority w:val="99"/>
    <w:unhideWhenUsed/>
    <w:rsid w:val="00CE720C"/>
    <w:pPr>
      <w:tabs>
        <w:tab w:val="center" w:pos="4153"/>
        <w:tab w:val="right" w:pos="8306"/>
      </w:tabs>
      <w:snapToGrid w:val="0"/>
    </w:pPr>
    <w:rPr>
      <w:sz w:val="20"/>
      <w:szCs w:val="20"/>
    </w:rPr>
  </w:style>
  <w:style w:type="character" w:customStyle="1" w:styleId="a5">
    <w:name w:val="頁首 字元"/>
    <w:basedOn w:val="a0"/>
    <w:link w:val="a4"/>
    <w:uiPriority w:val="99"/>
    <w:rsid w:val="00CE720C"/>
    <w:rPr>
      <w:sz w:val="20"/>
      <w:szCs w:val="20"/>
    </w:rPr>
  </w:style>
  <w:style w:type="paragraph" w:styleId="a6">
    <w:name w:val="footer"/>
    <w:basedOn w:val="a"/>
    <w:link w:val="a7"/>
    <w:uiPriority w:val="99"/>
    <w:unhideWhenUsed/>
    <w:rsid w:val="00CE720C"/>
    <w:pPr>
      <w:tabs>
        <w:tab w:val="center" w:pos="4153"/>
        <w:tab w:val="right" w:pos="8306"/>
      </w:tabs>
      <w:snapToGrid w:val="0"/>
    </w:pPr>
    <w:rPr>
      <w:sz w:val="20"/>
      <w:szCs w:val="20"/>
    </w:rPr>
  </w:style>
  <w:style w:type="character" w:customStyle="1" w:styleId="a7">
    <w:name w:val="頁尾 字元"/>
    <w:basedOn w:val="a0"/>
    <w:link w:val="a6"/>
    <w:uiPriority w:val="99"/>
    <w:rsid w:val="00CE72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7352-B68C-4BB7-8A65-A4717FBA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222</Words>
  <Characters>1270</Characters>
  <Application>Microsoft Office Word</Application>
  <DocSecurity>0</DocSecurity>
  <Lines>10</Lines>
  <Paragraphs>2</Paragraphs>
  <ScaleCrop>false</ScaleCrop>
  <Company>NTUT Computer And Network Center</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詹佩庭</dc:creator>
  <cp:keywords/>
  <dc:description/>
  <cp:lastModifiedBy>詹佩庭</cp:lastModifiedBy>
  <cp:revision>1</cp:revision>
  <dcterms:created xsi:type="dcterms:W3CDTF">2021-11-29T02:57:00Z</dcterms:created>
  <dcterms:modified xsi:type="dcterms:W3CDTF">2021-11-29T03:36:00Z</dcterms:modified>
</cp:coreProperties>
</file>