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4AF4">
      <w:pPr>
        <w:pStyle w:val="2"/>
      </w:pPr>
      <w:r>
        <w:t>基于公开信息的企业全面风险管理报告</w:t>
      </w:r>
    </w:p>
    <w:p w14:paraId="45E96737">
      <w:pPr>
        <w:pStyle w:val="3"/>
      </w:pPr>
      <w:r>
        <w:t>一、任务目标</w:t>
      </w:r>
    </w:p>
    <w:p w14:paraId="2629775B">
      <w:r>
        <w:t>选取一家信息可公开获取的企业（建议 A 股/港股/美股上市公司），依据年报、公告、ESG 报告等公开资料，结合课程所学风险管理知识，完成一份结构完整、分析有据的企业全面风险管理报告。理论框架建议参照 COSO ERM 或 ISO 31000。</w:t>
      </w:r>
    </w:p>
    <w:p w14:paraId="4A0D1FEC">
      <w:pPr>
        <w:pStyle w:val="3"/>
      </w:pPr>
      <w:r>
        <w:rPr>
          <w:rFonts w:hint="eastAsia"/>
        </w:rPr>
        <w:t>二、</w:t>
      </w:r>
      <w:r>
        <w:t>企业选择要求</w:t>
      </w:r>
    </w:p>
    <w:p w14:paraId="12494DE9">
      <w:r>
        <w:t>优先选择上市公司，便于查阅年报与风险披露</w:t>
      </w:r>
      <w:r>
        <w:rPr>
          <w:rFonts w:hint="eastAsia"/>
        </w:rPr>
        <w:t>。</w:t>
      </w:r>
      <w:r>
        <w:t>资料以</w:t>
      </w:r>
      <w:r>
        <w:rPr>
          <w:b/>
          <w:bCs/>
        </w:rPr>
        <w:t>企业官方披露</w:t>
      </w:r>
      <w:r>
        <w:t>为主，辅以权威行业研究</w:t>
      </w:r>
      <w:r>
        <w:rPr>
          <w:rFonts w:hint="eastAsia"/>
        </w:rPr>
        <w:t>。</w:t>
      </w:r>
      <w:r>
        <w:t>分析须独立完成，禁止大段抄袭</w:t>
      </w:r>
      <w:r>
        <w:rPr>
          <w:rFonts w:hint="eastAsia"/>
        </w:rPr>
        <w:t>，</w:t>
      </w:r>
      <w:r>
        <w:t>引用须注明出处</w:t>
      </w:r>
      <w:r>
        <w:rPr>
          <w:rFonts w:hint="eastAsia"/>
        </w:rPr>
        <w:t>。</w:t>
      </w:r>
    </w:p>
    <w:p w14:paraId="0E912A77">
      <w:pPr>
        <w:pStyle w:val="3"/>
      </w:pPr>
      <w:r>
        <w:t>三、报告结构与内容要求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2"/>
        <w:gridCol w:w="5754"/>
      </w:tblGrid>
      <w:tr w14:paraId="6BB079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52" w:type="dxa"/>
            <w:tcBorders>
              <w:top w:val="single" w:color="auto" w:sz="12" w:space="0"/>
              <w:bottom w:val="single" w:color="auto" w:sz="12" w:space="0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216BF04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章节</w:t>
            </w:r>
          </w:p>
        </w:tc>
        <w:tc>
          <w:tcPr>
            <w:tcW w:w="5754" w:type="dxa"/>
            <w:tcBorders>
              <w:top w:val="single" w:color="auto" w:sz="12" w:space="0"/>
              <w:bottom w:val="single" w:color="auto" w:sz="12" w:space="0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083CF31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核心内容</w:t>
            </w:r>
          </w:p>
        </w:tc>
      </w:tr>
      <w:tr w14:paraId="4C4C5A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Borders>
              <w:top w:val="single" w:color="auto" w:sz="12" w:space="0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C2B158E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摘要</w:t>
            </w:r>
          </w:p>
        </w:tc>
        <w:tc>
          <w:tcPr>
            <w:tcW w:w="5754" w:type="dxa"/>
            <w:tcBorders>
              <w:top w:val="single" w:color="auto" w:sz="12" w:space="0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0B78A95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300–500 字；概括企业概况、主要风险、结论与建议；附 3–5 个关键词</w:t>
            </w:r>
          </w:p>
        </w:tc>
      </w:tr>
      <w:tr w14:paraId="5F3893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28BD75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1. 公司简介</w:t>
            </w:r>
          </w:p>
        </w:tc>
        <w:tc>
          <w:tcPr>
            <w:tcW w:w="575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557AA9A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基本情况、股权结构、历史沿革、组织架构、行业地位</w:t>
            </w:r>
          </w:p>
        </w:tc>
      </w:tr>
      <w:tr w14:paraId="11D6D7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87B14B5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2. 主营业务</w:t>
            </w:r>
          </w:p>
        </w:tc>
        <w:tc>
          <w:tcPr>
            <w:tcW w:w="575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84DF5AD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商业模式、业务与营收结构、主要客户/供应商、产能、核心技术/专利</w:t>
            </w:r>
          </w:p>
        </w:tc>
      </w:tr>
      <w:tr w14:paraId="076174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A27408B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3. 风险管理环境</w:t>
            </w:r>
          </w:p>
        </w:tc>
        <w:tc>
          <w:tcPr>
            <w:tcW w:w="575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D209E31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企业风控体系与投资人逻辑；外部风险（政策、行业、社会、科技、法规）；内部风险（战略、生产、技术、营销、营运、财务、人力等）</w:t>
            </w:r>
          </w:p>
        </w:tc>
      </w:tr>
      <w:tr w14:paraId="52562A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0B39D6C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4. 风险评估</w:t>
            </w:r>
          </w:p>
        </w:tc>
        <w:tc>
          <w:tcPr>
            <w:tcW w:w="575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DB921E5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 xml:space="preserve">采用风险矩阵等至少一种方法；重点分析 </w:t>
            </w:r>
            <w:r>
              <w:rPr>
                <w:rFonts w:hint="eastAsia"/>
              </w:rPr>
              <w:t>4-6</w:t>
            </w:r>
            <w:r>
              <w:t xml:space="preserve"> 项重大风险，说明依据</w:t>
            </w:r>
          </w:p>
        </w:tc>
      </w:tr>
      <w:tr w14:paraId="7ABCEC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E982916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5. 风险应对</w:t>
            </w:r>
          </w:p>
        </w:tc>
        <w:tc>
          <w:tcPr>
            <w:tcW w:w="575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8C6B93A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针对重大风险说明规避/降低/转移/接受等策略；结合企业现状并给出评价与建议</w:t>
            </w:r>
          </w:p>
        </w:tc>
      </w:tr>
      <w:tr w14:paraId="5173F8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CBDF309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6. 内控机制</w:t>
            </w:r>
          </w:p>
        </w:tc>
        <w:tc>
          <w:tcPr>
            <w:tcW w:w="575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492DEA3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治理结构、三道防线、主要内控制度、内控与风险管理关系</w:t>
            </w:r>
          </w:p>
        </w:tc>
      </w:tr>
      <w:tr w14:paraId="1F57AA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909305B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7. 监督与改进</w:t>
            </w:r>
          </w:p>
        </w:tc>
        <w:tc>
          <w:tcPr>
            <w:tcW w:w="575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7E4CB49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监督主体、信息披露、整改机制；提出持续改进建议</w:t>
            </w:r>
          </w:p>
        </w:tc>
      </w:tr>
      <w:tr w14:paraId="5D8FAB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2" w:type="dxa"/>
            <w:tcBorders>
              <w:bottom w:val="single" w:color="auto" w:sz="12" w:space="0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133E703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8. 总结讨论</w:t>
            </w:r>
          </w:p>
        </w:tc>
        <w:tc>
          <w:tcPr>
            <w:tcW w:w="5754" w:type="dxa"/>
            <w:tcBorders>
              <w:bottom w:val="single" w:color="auto" w:sz="12" w:space="0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D0FADE8">
            <w:pPr>
              <w:adjustRightInd w:val="0"/>
              <w:snapToGrid w:val="0"/>
              <w:spacing w:after="0" w:line="240" w:lineRule="auto"/>
              <w:ind w:firstLine="0" w:firstLineChars="0"/>
            </w:pPr>
            <w:r>
              <w:t>报告优势、局限性、未来新风险与改进空间、个人收获</w:t>
            </w:r>
          </w:p>
        </w:tc>
      </w:tr>
    </w:tbl>
    <w:p w14:paraId="6BB5D77A">
      <w:pPr>
        <w:ind w:firstLine="482"/>
      </w:pPr>
      <w:r>
        <w:rPr>
          <w:b/>
          <w:bCs/>
        </w:rPr>
        <w:t>附录（建议）：</w:t>
      </w:r>
      <w:r>
        <w:t>主要财务数据表、风险清单汇总表、参考文献（≥10 条）</w:t>
      </w:r>
    </w:p>
    <w:p w14:paraId="7700BDAF">
      <w:pPr>
        <w:pStyle w:val="3"/>
        <w:rPr>
          <w:rFonts w:hint="eastAsia"/>
        </w:rPr>
      </w:pPr>
      <w:r>
        <w:rPr>
          <w:rFonts w:hint="eastAsia"/>
        </w:rPr>
        <w:t>四、写作要点</w:t>
      </w:r>
    </w:p>
    <w:p w14:paraId="7279D716">
      <w:pPr>
        <w:rPr>
          <w:rFonts w:hint="eastAsia"/>
        </w:rPr>
      </w:pPr>
      <w:r>
        <w:rPr>
          <w:rFonts w:hint="eastAsia"/>
        </w:rPr>
        <w:t>风险识别：用「风险描述 + 可能后果 + 信息来源」，避免空泛罗列</w:t>
      </w:r>
    </w:p>
    <w:p w14:paraId="473D5237">
      <w:pPr>
        <w:rPr>
          <w:rFonts w:hint="eastAsia"/>
        </w:rPr>
      </w:pPr>
      <w:r>
        <w:rPr>
          <w:rFonts w:hint="eastAsia"/>
        </w:rPr>
        <w:t>风险评估：至少使用风险矩阵（可能性 × 影响程度），可结合财务指标</w:t>
      </w:r>
    </w:p>
    <w:p w14:paraId="1687DF20">
      <w:pPr>
        <w:rPr>
          <w:rFonts w:hint="eastAsia"/>
        </w:rPr>
      </w:pPr>
      <w:r>
        <w:rPr>
          <w:rFonts w:hint="eastAsia"/>
        </w:rPr>
        <w:t>风险应对：须对应第 4 节重大风险，并引用年报「风险因素」等披露内容</w:t>
      </w:r>
    </w:p>
    <w:p w14:paraId="64DA0F90">
      <w:pPr>
        <w:rPr>
          <w:rFonts w:hint="eastAsia"/>
        </w:rPr>
      </w:pPr>
      <w:r>
        <w:rPr>
          <w:rFonts w:hint="eastAsia"/>
        </w:rPr>
        <w:t>图表：建议含股权/组织架构简图、营收趋势、风险矩阵等</w:t>
      </w:r>
    </w:p>
    <w:p w14:paraId="4F4D7EF5">
      <w:pPr>
        <w:pStyle w:val="3"/>
      </w:pPr>
      <w:r>
        <w:rPr>
          <w:rFonts w:hint="eastAsia"/>
        </w:rPr>
        <w:t>五、</w:t>
      </w:r>
      <w:r>
        <w:t>推荐选题方向（任选，不限）</w:t>
      </w:r>
    </w:p>
    <w:p w14:paraId="6B0C4E86">
      <w:r>
        <w:t>制造业（比亚迪、宁德时代）、金融（招商银行、中国平安）、消费（贵州茅台、伊利）、科技（腾讯</w:t>
      </w:r>
      <w:r>
        <w:rPr>
          <w:rFonts w:hint="eastAsia"/>
        </w:rPr>
        <w:t>，大疆，智谱</w:t>
      </w:r>
      <w:r>
        <w:t>）、能源（中国石油、长江电力）等。</w:t>
      </w:r>
      <w:r>
        <w:rPr>
          <w:b/>
          <w:bCs/>
        </w:rPr>
        <w:t>原则：</w:t>
      </w:r>
      <w:r>
        <w:t>行业特征明显、年报风险披露较充分。</w:t>
      </w:r>
    </w:p>
    <w:p w14:paraId="04EC2CA9">
      <w:pPr>
        <w:rPr>
          <w:rFonts w:hint="eastAsia"/>
        </w:rPr>
      </w:pPr>
    </w:p>
    <w:p w14:paraId="66021EF1">
      <w:pPr>
        <w:pStyle w:val="2"/>
      </w:pPr>
      <w:r>
        <w:t>Agent智能风险监控系统</w:t>
      </w:r>
    </w:p>
    <w:p w14:paraId="4F4D3A37">
      <w:pPr>
        <w:pStyle w:val="3"/>
      </w:pPr>
      <w:r>
        <w:t>一、任务背景与总体目标</w:t>
      </w:r>
    </w:p>
    <w:p w14:paraId="60BF1D28">
      <w:pPr>
        <w:pStyle w:val="4"/>
      </w:pPr>
      <w:r>
        <w:t>1.1 背景</w:t>
      </w:r>
    </w:p>
    <w:p w14:paraId="354A2A6F">
      <w:r>
        <w:t>主报告要求学生对真实企业完成全面风险管理分析。本技术报告进一步要求：</w:t>
      </w:r>
      <w:r>
        <w:rPr>
          <w:b/>
          <w:bCs/>
        </w:rPr>
        <w:t>允许并鼓励使用 AI 辅助</w:t>
      </w:r>
      <w:r>
        <w:t>完成资料检索、风险识别、报告撰写等环节；在此基础上，</w:t>
      </w:r>
      <w:r>
        <w:rPr>
          <w:b/>
          <w:bCs/>
        </w:rPr>
        <w:t>设计并开发</w:t>
      </w:r>
      <w:r>
        <w:t>一个基于</w:t>
      </w:r>
      <w:r>
        <w:rPr>
          <w:rFonts w:ascii="Calibri" w:hAnsi="Calibri" w:cs="Calibri"/>
        </w:rPr>
        <w:t> </w:t>
      </w:r>
      <w:r>
        <w:rPr>
          <w:b/>
          <w:bCs/>
        </w:rPr>
        <w:t>Agent（智能体）</w:t>
      </w:r>
      <w:r>
        <w:rPr>
          <w:rFonts w:ascii="Calibri" w:hAnsi="Calibri" w:cs="Calibri"/>
        </w:rPr>
        <w:t> </w:t>
      </w:r>
      <w:r>
        <w:t>架构的「智能风险监控管理系统」，将主报告中的风险管理流程部分落地为可运行的系统原型。</w:t>
      </w:r>
    </w:p>
    <w:p w14:paraId="794AC3DB">
      <w:pPr>
        <w:ind w:firstLine="482"/>
        <w:rPr>
          <w:b/>
          <w:bCs/>
        </w:rPr>
      </w:pPr>
      <w:r>
        <w:rPr>
          <w:b/>
          <w:bCs/>
        </w:rPr>
        <w:t>1.2 总体目标</w:t>
      </w:r>
    </w:p>
    <w:p w14:paraId="4448991A">
      <w:r>
        <w:t>构建一个可演示的系统，至少能够：</w:t>
      </w:r>
    </w:p>
    <w:p w14:paraId="30264DB1">
      <w:pPr>
        <w:numPr>
          <w:ilvl w:val="0"/>
          <w:numId w:val="1"/>
        </w:numPr>
        <w:ind w:firstLine="0" w:firstLineChars="0"/>
      </w:pPr>
      <w:r>
        <w:t>接入/录入企业公开信息与风险数据</w:t>
      </w:r>
    </w:p>
    <w:p w14:paraId="487F5192">
      <w:pPr>
        <w:numPr>
          <w:ilvl w:val="0"/>
          <w:numId w:val="1"/>
        </w:numPr>
        <w:ind w:firstLine="0" w:firstLineChars="0"/>
      </w:pPr>
      <w:r>
        <w:t>自动或半自动完成</w:t>
      </w:r>
      <w:r>
        <w:rPr>
          <w:b/>
          <w:bCs/>
        </w:rPr>
        <w:t>风险识别、评估、预警与应对建议</w:t>
      </w:r>
    </w:p>
    <w:p w14:paraId="576938D0">
      <w:pPr>
        <w:numPr>
          <w:ilvl w:val="0"/>
          <w:numId w:val="1"/>
        </w:numPr>
        <w:ind w:firstLine="0" w:firstLineChars="0"/>
      </w:pPr>
      <w:r>
        <w:t>提供</w:t>
      </w:r>
      <w:r>
        <w:rPr>
          <w:b/>
          <w:bCs/>
        </w:rPr>
        <w:t>内控与监督</w:t>
      </w:r>
      <w:r>
        <w:t>相关的基础功能模块</w:t>
      </w:r>
    </w:p>
    <w:p w14:paraId="7AB5572E">
      <w:pPr>
        <w:numPr>
          <w:ilvl w:val="0"/>
          <w:numId w:val="1"/>
        </w:numPr>
        <w:ind w:firstLine="0" w:firstLineChars="0"/>
      </w:pPr>
      <w:r>
        <w:t>生成与主报告结构对应的风险分析输出（摘要、清单、矩阵、建议等）</w:t>
      </w:r>
    </w:p>
    <w:p w14:paraId="74269181">
      <w:pPr>
        <w:pStyle w:val="3"/>
        <w:rPr>
          <w:rFonts w:eastAsia="宋体"/>
        </w:rPr>
      </w:pPr>
      <w:r>
        <w:rPr>
          <w:rFonts w:hint="eastAsia"/>
        </w:rPr>
        <w:t>二</w:t>
      </w:r>
      <w:r>
        <w:t>、技术报告结构</w:t>
      </w:r>
    </w:p>
    <w:p w14:paraId="3F44C4E6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摘要</w:t>
      </w:r>
      <w:r>
        <w:t>（300 字）</w:t>
      </w:r>
    </w:p>
    <w:p w14:paraId="4C428E9C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引言</w:t>
      </w:r>
      <w:r>
        <w:t>：项目背景、目标、与主报告关系</w:t>
      </w:r>
    </w:p>
    <w:p w14:paraId="3065D575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需求分析</w:t>
      </w:r>
      <w:r>
        <w:t>：功能需求、非功能需求、用户角色（如风险管理员、管理层）</w:t>
      </w:r>
    </w:p>
    <w:p w14:paraId="4DBABABA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系统设计</w:t>
      </w:r>
    </w:p>
    <w:p w14:paraId="0F9A4784">
      <w:pPr>
        <w:numPr>
          <w:ilvl w:val="1"/>
          <w:numId w:val="2"/>
        </w:numPr>
        <w:spacing w:after="0" w:line="240" w:lineRule="auto"/>
        <w:ind w:left="0" w:firstLine="480"/>
      </w:pPr>
      <w:r>
        <w:t>总体架构图</w:t>
      </w:r>
    </w:p>
    <w:p w14:paraId="2CB6538B">
      <w:pPr>
        <w:numPr>
          <w:ilvl w:val="1"/>
          <w:numId w:val="2"/>
        </w:numPr>
        <w:spacing w:after="0" w:line="240" w:lineRule="auto"/>
        <w:ind w:left="0" w:firstLine="480"/>
      </w:pPr>
      <w:r>
        <w:t>Agent 设计与协作流程</w:t>
      </w:r>
    </w:p>
    <w:p w14:paraId="1725721C">
      <w:pPr>
        <w:numPr>
          <w:ilvl w:val="1"/>
          <w:numId w:val="2"/>
        </w:numPr>
        <w:spacing w:after="0" w:line="240" w:lineRule="auto"/>
        <w:ind w:left="0" w:firstLine="480"/>
      </w:pPr>
      <w:r>
        <w:t>核心模块说明</w:t>
      </w:r>
    </w:p>
    <w:p w14:paraId="12975F3C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AI 辅助与 Agent 实现</w:t>
      </w:r>
    </w:p>
    <w:p w14:paraId="542D4A13">
      <w:pPr>
        <w:numPr>
          <w:ilvl w:val="1"/>
          <w:numId w:val="2"/>
        </w:numPr>
        <w:spacing w:after="0" w:line="240" w:lineRule="auto"/>
        <w:ind w:left="0" w:firstLine="480"/>
      </w:pPr>
      <w:r>
        <w:t>模型与工具选型</w:t>
      </w:r>
    </w:p>
    <w:p w14:paraId="687FAD77">
      <w:pPr>
        <w:numPr>
          <w:ilvl w:val="1"/>
          <w:numId w:val="2"/>
        </w:numPr>
        <w:spacing w:after="0" w:line="240" w:lineRule="auto"/>
        <w:ind w:left="0" w:firstLine="480"/>
      </w:pPr>
      <w:r>
        <w:t>Prompt / 工作流设计</w:t>
      </w:r>
    </w:p>
    <w:p w14:paraId="69571BF8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系统测试与演示</w:t>
      </w:r>
    </w:p>
    <w:p w14:paraId="4DD8F639">
      <w:pPr>
        <w:numPr>
          <w:ilvl w:val="1"/>
          <w:numId w:val="2"/>
        </w:numPr>
        <w:spacing w:after="0" w:line="240" w:lineRule="auto"/>
        <w:ind w:left="0" w:firstLine="480"/>
      </w:pPr>
      <w:r>
        <w:t>测试用例与结果</w:t>
      </w:r>
    </w:p>
    <w:p w14:paraId="176ACF96">
      <w:pPr>
        <w:numPr>
          <w:ilvl w:val="1"/>
          <w:numId w:val="2"/>
        </w:numPr>
        <w:spacing w:after="0" w:line="240" w:lineRule="auto"/>
        <w:ind w:left="0" w:firstLine="480"/>
      </w:pPr>
      <w:r>
        <w:t>以主报告所选企业为案例的演示说明</w:t>
      </w:r>
    </w:p>
    <w:p w14:paraId="77AA7007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结果与分析</w:t>
      </w:r>
    </w:p>
    <w:p w14:paraId="6098A1C5">
      <w:pPr>
        <w:numPr>
          <w:ilvl w:val="1"/>
          <w:numId w:val="2"/>
        </w:numPr>
        <w:spacing w:after="0" w:line="240" w:lineRule="auto"/>
        <w:ind w:left="0" w:firstLine="480"/>
      </w:pPr>
      <w:r>
        <w:t>系统输出 vs 主报告人工分析的对照</w:t>
      </w:r>
    </w:p>
    <w:p w14:paraId="5A82EBB1">
      <w:pPr>
        <w:numPr>
          <w:ilvl w:val="1"/>
          <w:numId w:val="2"/>
        </w:numPr>
        <w:spacing w:after="0" w:line="240" w:lineRule="auto"/>
        <w:ind w:left="0" w:firstLine="480"/>
      </w:pPr>
      <w:r>
        <w:t>优势、误差与局限性</w:t>
      </w:r>
    </w:p>
    <w:p w14:paraId="6B98B911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AI 使用说明（附录 A）</w:t>
      </w:r>
    </w:p>
    <w:p w14:paraId="5D00C439">
      <w:pPr>
        <w:numPr>
          <w:ilvl w:val="0"/>
          <w:numId w:val="2"/>
        </w:numPr>
        <w:spacing w:after="0" w:line="240" w:lineRule="auto"/>
        <w:ind w:left="0" w:firstLine="482"/>
      </w:pPr>
      <w:r>
        <w:rPr>
          <w:b/>
          <w:bCs/>
        </w:rPr>
        <w:t>参考文献与开源组件声明（附录 B）</w:t>
      </w:r>
    </w:p>
    <w:p w14:paraId="0174B313">
      <w:pPr>
        <w:pStyle w:val="30"/>
        <w:numPr>
          <w:ilvl w:val="0"/>
          <w:numId w:val="2"/>
        </w:numPr>
        <w:spacing w:after="0" w:line="240" w:lineRule="auto"/>
        <w:ind w:firstLineChars="0"/>
      </w:pPr>
      <w:r>
        <w:rPr>
          <w:b/>
          <w:bCs/>
        </w:rPr>
        <w:t>部署与运行说明（附录 C）</w:t>
      </w:r>
    </w:p>
    <w:p w14:paraId="0BAFCA4B"/>
    <w:p w14:paraId="47D2A0DF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78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7101DF"/>
    <w:multiLevelType w:val="multilevel"/>
    <w:tmpl w:val="387101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50D6A24"/>
    <w:multiLevelType w:val="multilevel"/>
    <w:tmpl w:val="650D6A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5B"/>
    <w:rsid w:val="00071E96"/>
    <w:rsid w:val="000B2581"/>
    <w:rsid w:val="004C4C5B"/>
    <w:rsid w:val="005F5F5A"/>
    <w:rsid w:val="007D348E"/>
    <w:rsid w:val="00864D40"/>
    <w:rsid w:val="00A87CF1"/>
    <w:rsid w:val="00C8453D"/>
    <w:rsid w:val="00E15477"/>
    <w:rsid w:val="00FC7C5E"/>
    <w:rsid w:val="49AA48F1"/>
    <w:rsid w:val="7220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ind w:firstLine="480" w:firstLineChars="200"/>
      <w:jc w:val="both"/>
    </w:pPr>
    <w:rPr>
      <w:rFonts w:ascii="楷体" w:hAnsi="楷体" w:eastAsia="楷体" w:cstheme="minorBidi"/>
      <w:kern w:val="2"/>
      <w:sz w:val="24"/>
      <w:szCs w:val="28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ind w:firstLine="640"/>
      <w:jc w:val="center"/>
      <w:outlineLvl w:val="0"/>
    </w:pPr>
    <w:rPr>
      <w:sz w:val="32"/>
      <w:szCs w:val="36"/>
    </w:rPr>
  </w:style>
  <w:style w:type="paragraph" w:styleId="3">
    <w:name w:val="heading 2"/>
    <w:basedOn w:val="1"/>
    <w:next w:val="1"/>
    <w:link w:val="18"/>
    <w:unhideWhenUsed/>
    <w:qFormat/>
    <w:uiPriority w:val="9"/>
    <w:pPr>
      <w:spacing w:line="360" w:lineRule="auto"/>
      <w:ind w:firstLine="0" w:firstLineChars="0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ind w:firstLine="482"/>
      <w:outlineLvl w:val="2"/>
    </w:pPr>
    <w:rPr>
      <w:b/>
      <w:bCs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sz w:val="32"/>
      <w:szCs w:val="36"/>
    </w:rPr>
  </w:style>
  <w:style w:type="character" w:customStyle="1" w:styleId="18">
    <w:name w:val="标题 2 字符"/>
    <w:basedOn w:val="16"/>
    <w:link w:val="3"/>
    <w:qFormat/>
    <w:uiPriority w:val="9"/>
    <w:rPr>
      <w:rFonts w:ascii="楷体" w:hAnsi="楷体" w:eastAsia="楷体"/>
      <w:b/>
      <w:bCs/>
      <w:sz w:val="28"/>
      <w:szCs w:val="32"/>
    </w:rPr>
  </w:style>
  <w:style w:type="character" w:customStyle="1" w:styleId="19">
    <w:name w:val="标题 3 字符"/>
    <w:basedOn w:val="16"/>
    <w:link w:val="4"/>
    <w:qFormat/>
    <w:uiPriority w:val="9"/>
    <w:rPr>
      <w:rFonts w:ascii="楷体" w:hAnsi="楷体" w:eastAsia="楷体"/>
      <w:b/>
      <w:bCs/>
      <w:sz w:val="24"/>
      <w:szCs w:val="28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1313</Words>
  <Characters>1379</Characters>
  <Lines>45</Lines>
  <Paragraphs>56</Paragraphs>
  <TotalTime>48</TotalTime>
  <ScaleCrop>false</ScaleCrop>
  <LinksUpToDate>false</LinksUpToDate>
  <CharactersWithSpaces>1435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2026-06-26T09:00:00Z</dcterms:created>
  <dc:creator>A</dc:creator>
  <cp:lastModifiedBy>olveuoy园长</cp:lastModifiedBy>
  <dcterms:modified xsi:type="dcterms:W3CDTF">2026-06-26T13:15:29Z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B694814219A34EDF9D02A9A4313A635F_13</vt:lpwstr>
  </property>
  <property fmtid="{D5CDD505-2E9C-101B-9397-08002B2CF9AE}" pid="4" name="KSOTemplateDocerSaveRecord">
    <vt:lpwstr>eyJoZGlkIjoiMmMwZDYyM2RlYzVhNmRhOTJlNWJjZmRjNGRjMDY2YTIiLCJ1c2VySWQiOiIxMDcyMjIyMzA3In0=</vt:lpwstr>
  </property>
</Properties>
</file>