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81FC9">
      <w:pPr>
        <w:jc w:val="center"/>
      </w:pPr>
      <w:r>
        <w:rPr>
          <w:rFonts w:ascii="黑体" w:hAnsi="黑体" w:eastAsia="黑体"/>
          <w:b/>
          <w:sz w:val="52"/>
        </w:rPr>
        <w:t>基于公开信息的企业全面风险管理报告</w:t>
      </w:r>
    </w:p>
    <w:p w14:paraId="77C2BEE8">
      <w:pPr>
        <w:jc w:val="center"/>
      </w:pPr>
      <w:r>
        <w:rPr>
          <w:rFonts w:ascii="黑体" w:hAnsi="黑体" w:eastAsia="黑体"/>
          <w:sz w:val="36"/>
        </w:rPr>
        <w:t>——</w:t>
      </w:r>
      <w:r>
        <w:rPr>
          <w:rFonts w:hint="eastAsia" w:ascii="黑体" w:hAnsi="黑体" w:eastAsia="黑体"/>
          <w:sz w:val="36"/>
          <w:lang w:val="en-US" w:eastAsia="zh-CN"/>
        </w:rPr>
        <w:t>基于</w:t>
      </w:r>
      <w:r>
        <w:rPr>
          <w:rFonts w:ascii="黑体" w:hAnsi="黑体" w:eastAsia="黑体"/>
          <w:sz w:val="36"/>
        </w:rPr>
        <w:t>腾讯</w:t>
      </w:r>
      <w:bookmarkStart w:id="45" w:name="_GoBack"/>
      <w:bookmarkEnd w:id="45"/>
    </w:p>
    <w:p w14:paraId="16310689"/>
    <w:p w14:paraId="2AD5CFA3"/>
    <w:p w14:paraId="15AB4F05">
      <w:pPr>
        <w:jc w:val="right"/>
        <w:rPr>
          <w:rFonts w:hint="eastAsia"/>
          <w:lang w:val="en-US" w:eastAsia="zh-CN"/>
        </w:rPr>
      </w:pPr>
    </w:p>
    <w:p w14:paraId="513FE98C">
      <w:pPr>
        <w:jc w:val="center"/>
        <w:rPr>
          <w:rFonts w:hint="eastAsia"/>
          <w:lang w:val="en-US" w:eastAsia="zh-CN"/>
        </w:rPr>
      </w:pPr>
      <w:r>
        <w:rPr>
          <w:rFonts w:hint="eastAsia"/>
          <w:lang w:val="en-US" w:eastAsia="zh-CN"/>
        </w:rPr>
        <w:t xml:space="preserve">                                                      报告人：李家昊</w:t>
      </w:r>
    </w:p>
    <w:p w14:paraId="429AA117">
      <w:pPr>
        <w:jc w:val="right"/>
        <w:rPr>
          <w:rFonts w:hint="default"/>
          <w:lang w:val="en-US" w:eastAsia="zh-CN"/>
        </w:rPr>
      </w:pPr>
      <w:r>
        <w:rPr>
          <w:rFonts w:hint="eastAsia"/>
          <w:lang w:val="en-US" w:eastAsia="zh-CN"/>
        </w:rPr>
        <w:t>学号：2024044057</w:t>
      </w:r>
    </w:p>
    <w:p w14:paraId="58AAF37C">
      <w:pPr>
        <w:rPr>
          <w:rFonts w:hint="eastAsia" w:eastAsia="宋体"/>
          <w:lang w:val="en-US" w:eastAsia="zh-CN"/>
        </w:rPr>
      </w:pPr>
      <w:r>
        <w:rPr>
          <w:rFonts w:hint="eastAsia" w:eastAsia="宋体"/>
          <w:lang w:val="en-US" w:eastAsia="zh-CN"/>
        </w:rPr>
        <w:br w:type="page"/>
      </w:r>
    </w:p>
    <w:p w14:paraId="705C3BA7">
      <w:pPr>
        <w:pStyle w:val="26"/>
        <w:tabs>
          <w:tab w:val="right" w:leader="dot" w:pos="8634"/>
        </w:tabs>
        <w:jc w:val="center"/>
        <w:rPr>
          <w:rFonts w:hint="eastAsia" w:eastAsia="宋体"/>
          <w:lang w:val="en-US" w:eastAsia="zh-CN"/>
        </w:rPr>
      </w:pPr>
      <w:r>
        <w:rPr>
          <w:rFonts w:hint="eastAsia"/>
          <w:lang w:val="en-US" w:eastAsia="zh-CN"/>
        </w:rPr>
        <w:t>目录</w:t>
      </w:r>
    </w:p>
    <w:p w14:paraId="2F9AD94D">
      <w:pPr>
        <w:pStyle w:val="26"/>
        <w:tabs>
          <w:tab w:val="right" w:leader="dot" w:pos="8634"/>
        </w:tabs>
        <w:rPr>
          <w:sz w:val="18"/>
          <w:szCs w:val="18"/>
        </w:rPr>
      </w:pPr>
      <w:r>
        <w:fldChar w:fldCharType="begin"/>
      </w:r>
      <w:r>
        <w:instrText xml:space="preserve">TOC \o "1-3" \h \u </w:instrText>
      </w:r>
      <w:r>
        <w:fldChar w:fldCharType="separate"/>
      </w:r>
      <w:r>
        <w:rPr>
          <w:sz w:val="18"/>
          <w:szCs w:val="18"/>
        </w:rPr>
        <w:fldChar w:fldCharType="begin"/>
      </w:r>
      <w:r>
        <w:rPr>
          <w:sz w:val="18"/>
          <w:szCs w:val="18"/>
        </w:rPr>
        <w:instrText xml:space="preserve"> HYPERLINK \l _Toc11158 </w:instrText>
      </w:r>
      <w:r>
        <w:rPr>
          <w:sz w:val="18"/>
          <w:szCs w:val="18"/>
        </w:rPr>
        <w:fldChar w:fldCharType="separate"/>
      </w:r>
      <w:r>
        <w:rPr>
          <w:rFonts w:ascii="黑体" w:hAnsi="黑体" w:eastAsia="黑体"/>
          <w:sz w:val="18"/>
          <w:szCs w:val="18"/>
        </w:rPr>
        <w:t>摘要</w:t>
      </w:r>
      <w:r>
        <w:rPr>
          <w:sz w:val="18"/>
          <w:szCs w:val="18"/>
        </w:rPr>
        <w:tab/>
      </w:r>
      <w:r>
        <w:rPr>
          <w:sz w:val="18"/>
          <w:szCs w:val="18"/>
        </w:rPr>
        <w:fldChar w:fldCharType="begin"/>
      </w:r>
      <w:r>
        <w:rPr>
          <w:sz w:val="18"/>
          <w:szCs w:val="18"/>
        </w:rPr>
        <w:instrText xml:space="preserve"> PAGEREF _Toc11158 \h </w:instrText>
      </w:r>
      <w:r>
        <w:rPr>
          <w:sz w:val="18"/>
          <w:szCs w:val="18"/>
        </w:rPr>
        <w:fldChar w:fldCharType="separate"/>
      </w:r>
      <w:r>
        <w:rPr>
          <w:sz w:val="18"/>
          <w:szCs w:val="18"/>
        </w:rPr>
        <w:t>5</w:t>
      </w:r>
      <w:r>
        <w:rPr>
          <w:sz w:val="18"/>
          <w:szCs w:val="18"/>
        </w:rPr>
        <w:fldChar w:fldCharType="end"/>
      </w:r>
      <w:r>
        <w:rPr>
          <w:sz w:val="18"/>
          <w:szCs w:val="18"/>
        </w:rPr>
        <w:fldChar w:fldCharType="end"/>
      </w:r>
    </w:p>
    <w:p w14:paraId="15DBE7C6">
      <w:pPr>
        <w:pStyle w:val="26"/>
        <w:tabs>
          <w:tab w:val="right" w:leader="dot" w:pos="8634"/>
        </w:tabs>
        <w:rPr>
          <w:sz w:val="18"/>
          <w:szCs w:val="18"/>
        </w:rPr>
      </w:pPr>
      <w:r>
        <w:rPr>
          <w:sz w:val="18"/>
          <w:szCs w:val="18"/>
        </w:rPr>
        <w:fldChar w:fldCharType="begin"/>
      </w:r>
      <w:r>
        <w:rPr>
          <w:sz w:val="18"/>
          <w:szCs w:val="18"/>
        </w:rPr>
        <w:instrText xml:space="preserve"> HYPERLINK \l _Toc29327 </w:instrText>
      </w:r>
      <w:r>
        <w:rPr>
          <w:sz w:val="18"/>
          <w:szCs w:val="18"/>
        </w:rPr>
        <w:fldChar w:fldCharType="separate"/>
      </w:r>
      <w:r>
        <w:rPr>
          <w:rFonts w:ascii="黑体" w:hAnsi="黑体" w:eastAsia="黑体"/>
          <w:sz w:val="18"/>
          <w:szCs w:val="18"/>
        </w:rPr>
        <w:t>1. 公司简介</w:t>
      </w:r>
      <w:r>
        <w:rPr>
          <w:sz w:val="18"/>
          <w:szCs w:val="18"/>
        </w:rPr>
        <w:tab/>
      </w:r>
      <w:r>
        <w:rPr>
          <w:sz w:val="18"/>
          <w:szCs w:val="18"/>
        </w:rPr>
        <w:fldChar w:fldCharType="begin"/>
      </w:r>
      <w:r>
        <w:rPr>
          <w:sz w:val="18"/>
          <w:szCs w:val="18"/>
        </w:rPr>
        <w:instrText xml:space="preserve"> PAGEREF _Toc29327 \h </w:instrText>
      </w:r>
      <w:r>
        <w:rPr>
          <w:sz w:val="18"/>
          <w:szCs w:val="18"/>
        </w:rPr>
        <w:fldChar w:fldCharType="separate"/>
      </w:r>
      <w:r>
        <w:rPr>
          <w:sz w:val="18"/>
          <w:szCs w:val="18"/>
        </w:rPr>
        <w:t>6</w:t>
      </w:r>
      <w:r>
        <w:rPr>
          <w:sz w:val="18"/>
          <w:szCs w:val="18"/>
        </w:rPr>
        <w:fldChar w:fldCharType="end"/>
      </w:r>
      <w:r>
        <w:rPr>
          <w:sz w:val="18"/>
          <w:szCs w:val="18"/>
        </w:rPr>
        <w:fldChar w:fldCharType="end"/>
      </w:r>
    </w:p>
    <w:p w14:paraId="52F4579B">
      <w:pPr>
        <w:pStyle w:val="29"/>
        <w:tabs>
          <w:tab w:val="right" w:leader="dot" w:pos="8634"/>
        </w:tabs>
        <w:rPr>
          <w:sz w:val="18"/>
          <w:szCs w:val="18"/>
        </w:rPr>
      </w:pPr>
      <w:r>
        <w:rPr>
          <w:sz w:val="18"/>
          <w:szCs w:val="18"/>
        </w:rPr>
        <w:fldChar w:fldCharType="begin"/>
      </w:r>
      <w:r>
        <w:rPr>
          <w:sz w:val="18"/>
          <w:szCs w:val="18"/>
        </w:rPr>
        <w:instrText xml:space="preserve"> HYPERLINK \l _Toc21368 </w:instrText>
      </w:r>
      <w:r>
        <w:rPr>
          <w:sz w:val="18"/>
          <w:szCs w:val="18"/>
        </w:rPr>
        <w:fldChar w:fldCharType="separate"/>
      </w:r>
      <w:r>
        <w:rPr>
          <w:rFonts w:ascii="黑体" w:hAnsi="黑体" w:eastAsia="黑体"/>
          <w:sz w:val="18"/>
          <w:szCs w:val="18"/>
        </w:rPr>
        <w:t>1.1 基本情况</w:t>
      </w:r>
      <w:r>
        <w:rPr>
          <w:sz w:val="18"/>
          <w:szCs w:val="18"/>
        </w:rPr>
        <w:tab/>
      </w:r>
      <w:r>
        <w:rPr>
          <w:sz w:val="18"/>
          <w:szCs w:val="18"/>
        </w:rPr>
        <w:fldChar w:fldCharType="begin"/>
      </w:r>
      <w:r>
        <w:rPr>
          <w:sz w:val="18"/>
          <w:szCs w:val="18"/>
        </w:rPr>
        <w:instrText xml:space="preserve"> PAGEREF _Toc21368 \h </w:instrText>
      </w:r>
      <w:r>
        <w:rPr>
          <w:sz w:val="18"/>
          <w:szCs w:val="18"/>
        </w:rPr>
        <w:fldChar w:fldCharType="separate"/>
      </w:r>
      <w:r>
        <w:rPr>
          <w:sz w:val="18"/>
          <w:szCs w:val="18"/>
        </w:rPr>
        <w:t>6</w:t>
      </w:r>
      <w:r>
        <w:rPr>
          <w:sz w:val="18"/>
          <w:szCs w:val="18"/>
        </w:rPr>
        <w:fldChar w:fldCharType="end"/>
      </w:r>
      <w:r>
        <w:rPr>
          <w:sz w:val="18"/>
          <w:szCs w:val="18"/>
        </w:rPr>
        <w:fldChar w:fldCharType="end"/>
      </w:r>
    </w:p>
    <w:p w14:paraId="2BED9F1C">
      <w:pPr>
        <w:pStyle w:val="29"/>
        <w:tabs>
          <w:tab w:val="right" w:leader="dot" w:pos="8634"/>
        </w:tabs>
        <w:rPr>
          <w:sz w:val="18"/>
          <w:szCs w:val="18"/>
        </w:rPr>
      </w:pPr>
      <w:r>
        <w:rPr>
          <w:sz w:val="18"/>
          <w:szCs w:val="18"/>
        </w:rPr>
        <w:fldChar w:fldCharType="begin"/>
      </w:r>
      <w:r>
        <w:rPr>
          <w:sz w:val="18"/>
          <w:szCs w:val="18"/>
        </w:rPr>
        <w:instrText xml:space="preserve"> HYPERLINK \l _Toc2348 </w:instrText>
      </w:r>
      <w:r>
        <w:rPr>
          <w:sz w:val="18"/>
          <w:szCs w:val="18"/>
        </w:rPr>
        <w:fldChar w:fldCharType="separate"/>
      </w:r>
      <w:r>
        <w:rPr>
          <w:rFonts w:ascii="黑体" w:hAnsi="黑体" w:eastAsia="黑体"/>
          <w:sz w:val="18"/>
          <w:szCs w:val="18"/>
        </w:rPr>
        <w:t>1.2 股权结构</w:t>
      </w:r>
      <w:r>
        <w:rPr>
          <w:sz w:val="18"/>
          <w:szCs w:val="18"/>
        </w:rPr>
        <w:tab/>
      </w:r>
      <w:r>
        <w:rPr>
          <w:sz w:val="18"/>
          <w:szCs w:val="18"/>
        </w:rPr>
        <w:fldChar w:fldCharType="begin"/>
      </w:r>
      <w:r>
        <w:rPr>
          <w:sz w:val="18"/>
          <w:szCs w:val="18"/>
        </w:rPr>
        <w:instrText xml:space="preserve"> PAGEREF _Toc2348 \h </w:instrText>
      </w:r>
      <w:r>
        <w:rPr>
          <w:sz w:val="18"/>
          <w:szCs w:val="18"/>
        </w:rPr>
        <w:fldChar w:fldCharType="separate"/>
      </w:r>
      <w:r>
        <w:rPr>
          <w:sz w:val="18"/>
          <w:szCs w:val="18"/>
        </w:rPr>
        <w:t>6</w:t>
      </w:r>
      <w:r>
        <w:rPr>
          <w:sz w:val="18"/>
          <w:szCs w:val="18"/>
        </w:rPr>
        <w:fldChar w:fldCharType="end"/>
      </w:r>
      <w:r>
        <w:rPr>
          <w:sz w:val="18"/>
          <w:szCs w:val="18"/>
        </w:rPr>
        <w:fldChar w:fldCharType="end"/>
      </w:r>
    </w:p>
    <w:p w14:paraId="5B4D38DC">
      <w:pPr>
        <w:pStyle w:val="29"/>
        <w:tabs>
          <w:tab w:val="right" w:leader="dot" w:pos="8634"/>
        </w:tabs>
        <w:rPr>
          <w:sz w:val="18"/>
          <w:szCs w:val="18"/>
        </w:rPr>
      </w:pPr>
      <w:r>
        <w:rPr>
          <w:sz w:val="18"/>
          <w:szCs w:val="18"/>
        </w:rPr>
        <w:fldChar w:fldCharType="begin"/>
      </w:r>
      <w:r>
        <w:rPr>
          <w:sz w:val="18"/>
          <w:szCs w:val="18"/>
        </w:rPr>
        <w:instrText xml:space="preserve"> HYPERLINK \l _Toc12531 </w:instrText>
      </w:r>
      <w:r>
        <w:rPr>
          <w:sz w:val="18"/>
          <w:szCs w:val="18"/>
        </w:rPr>
        <w:fldChar w:fldCharType="separate"/>
      </w:r>
      <w:r>
        <w:rPr>
          <w:rFonts w:ascii="黑体" w:hAnsi="黑体" w:eastAsia="黑体"/>
          <w:sz w:val="18"/>
          <w:szCs w:val="18"/>
        </w:rPr>
        <w:t>1.3 历史沿革</w:t>
      </w:r>
      <w:r>
        <w:rPr>
          <w:sz w:val="18"/>
          <w:szCs w:val="18"/>
        </w:rPr>
        <w:tab/>
      </w:r>
      <w:r>
        <w:rPr>
          <w:sz w:val="18"/>
          <w:szCs w:val="18"/>
        </w:rPr>
        <w:fldChar w:fldCharType="begin"/>
      </w:r>
      <w:r>
        <w:rPr>
          <w:sz w:val="18"/>
          <w:szCs w:val="18"/>
        </w:rPr>
        <w:instrText xml:space="preserve"> PAGEREF _Toc12531 \h </w:instrText>
      </w:r>
      <w:r>
        <w:rPr>
          <w:sz w:val="18"/>
          <w:szCs w:val="18"/>
        </w:rPr>
        <w:fldChar w:fldCharType="separate"/>
      </w:r>
      <w:r>
        <w:rPr>
          <w:sz w:val="18"/>
          <w:szCs w:val="18"/>
        </w:rPr>
        <w:t>7</w:t>
      </w:r>
      <w:r>
        <w:rPr>
          <w:sz w:val="18"/>
          <w:szCs w:val="18"/>
        </w:rPr>
        <w:fldChar w:fldCharType="end"/>
      </w:r>
      <w:r>
        <w:rPr>
          <w:sz w:val="18"/>
          <w:szCs w:val="18"/>
        </w:rPr>
        <w:fldChar w:fldCharType="end"/>
      </w:r>
    </w:p>
    <w:p w14:paraId="6E00E901">
      <w:pPr>
        <w:pStyle w:val="29"/>
        <w:tabs>
          <w:tab w:val="right" w:leader="dot" w:pos="8634"/>
        </w:tabs>
        <w:rPr>
          <w:sz w:val="18"/>
          <w:szCs w:val="18"/>
        </w:rPr>
      </w:pPr>
      <w:r>
        <w:rPr>
          <w:sz w:val="18"/>
          <w:szCs w:val="18"/>
        </w:rPr>
        <w:fldChar w:fldCharType="begin"/>
      </w:r>
      <w:r>
        <w:rPr>
          <w:sz w:val="18"/>
          <w:szCs w:val="18"/>
        </w:rPr>
        <w:instrText xml:space="preserve"> HYPERLINK \l _Toc10340 </w:instrText>
      </w:r>
      <w:r>
        <w:rPr>
          <w:sz w:val="18"/>
          <w:szCs w:val="18"/>
        </w:rPr>
        <w:fldChar w:fldCharType="separate"/>
      </w:r>
      <w:r>
        <w:rPr>
          <w:rFonts w:ascii="黑体" w:hAnsi="黑体" w:eastAsia="黑体"/>
          <w:sz w:val="18"/>
          <w:szCs w:val="18"/>
        </w:rPr>
        <w:t>1.4 组织架构</w:t>
      </w:r>
      <w:r>
        <w:rPr>
          <w:sz w:val="18"/>
          <w:szCs w:val="18"/>
        </w:rPr>
        <w:tab/>
      </w:r>
      <w:r>
        <w:rPr>
          <w:sz w:val="18"/>
          <w:szCs w:val="18"/>
        </w:rPr>
        <w:fldChar w:fldCharType="begin"/>
      </w:r>
      <w:r>
        <w:rPr>
          <w:sz w:val="18"/>
          <w:szCs w:val="18"/>
        </w:rPr>
        <w:instrText xml:space="preserve"> PAGEREF _Toc10340 \h </w:instrText>
      </w:r>
      <w:r>
        <w:rPr>
          <w:sz w:val="18"/>
          <w:szCs w:val="18"/>
        </w:rPr>
        <w:fldChar w:fldCharType="separate"/>
      </w:r>
      <w:r>
        <w:rPr>
          <w:sz w:val="18"/>
          <w:szCs w:val="18"/>
        </w:rPr>
        <w:t>7</w:t>
      </w:r>
      <w:r>
        <w:rPr>
          <w:sz w:val="18"/>
          <w:szCs w:val="18"/>
        </w:rPr>
        <w:fldChar w:fldCharType="end"/>
      </w:r>
      <w:r>
        <w:rPr>
          <w:sz w:val="18"/>
          <w:szCs w:val="18"/>
        </w:rPr>
        <w:fldChar w:fldCharType="end"/>
      </w:r>
    </w:p>
    <w:p w14:paraId="092F3208">
      <w:pPr>
        <w:pStyle w:val="29"/>
        <w:tabs>
          <w:tab w:val="right" w:leader="dot" w:pos="8634"/>
        </w:tabs>
        <w:rPr>
          <w:sz w:val="18"/>
          <w:szCs w:val="18"/>
        </w:rPr>
      </w:pPr>
      <w:r>
        <w:rPr>
          <w:sz w:val="18"/>
          <w:szCs w:val="18"/>
        </w:rPr>
        <w:fldChar w:fldCharType="begin"/>
      </w:r>
      <w:r>
        <w:rPr>
          <w:sz w:val="18"/>
          <w:szCs w:val="18"/>
        </w:rPr>
        <w:instrText xml:space="preserve"> HYPERLINK \l _Toc22898 </w:instrText>
      </w:r>
      <w:r>
        <w:rPr>
          <w:sz w:val="18"/>
          <w:szCs w:val="18"/>
        </w:rPr>
        <w:fldChar w:fldCharType="separate"/>
      </w:r>
      <w:r>
        <w:rPr>
          <w:rFonts w:ascii="黑体" w:hAnsi="黑体" w:eastAsia="黑体"/>
          <w:sz w:val="18"/>
          <w:szCs w:val="18"/>
        </w:rPr>
        <w:t>1.5 行业地位</w:t>
      </w:r>
      <w:r>
        <w:rPr>
          <w:sz w:val="18"/>
          <w:szCs w:val="18"/>
        </w:rPr>
        <w:tab/>
      </w:r>
      <w:r>
        <w:rPr>
          <w:sz w:val="18"/>
          <w:szCs w:val="18"/>
        </w:rPr>
        <w:fldChar w:fldCharType="begin"/>
      </w:r>
      <w:r>
        <w:rPr>
          <w:sz w:val="18"/>
          <w:szCs w:val="18"/>
        </w:rPr>
        <w:instrText xml:space="preserve"> PAGEREF _Toc22898 \h </w:instrText>
      </w:r>
      <w:r>
        <w:rPr>
          <w:sz w:val="18"/>
          <w:szCs w:val="18"/>
        </w:rPr>
        <w:fldChar w:fldCharType="separate"/>
      </w:r>
      <w:r>
        <w:rPr>
          <w:sz w:val="18"/>
          <w:szCs w:val="18"/>
        </w:rPr>
        <w:t>8</w:t>
      </w:r>
      <w:r>
        <w:rPr>
          <w:sz w:val="18"/>
          <w:szCs w:val="18"/>
        </w:rPr>
        <w:fldChar w:fldCharType="end"/>
      </w:r>
      <w:r>
        <w:rPr>
          <w:sz w:val="18"/>
          <w:szCs w:val="18"/>
        </w:rPr>
        <w:fldChar w:fldCharType="end"/>
      </w:r>
    </w:p>
    <w:p w14:paraId="1D7FB06F">
      <w:pPr>
        <w:pStyle w:val="26"/>
        <w:tabs>
          <w:tab w:val="right" w:leader="dot" w:pos="8634"/>
        </w:tabs>
        <w:rPr>
          <w:sz w:val="18"/>
          <w:szCs w:val="18"/>
        </w:rPr>
      </w:pPr>
      <w:r>
        <w:rPr>
          <w:sz w:val="18"/>
          <w:szCs w:val="18"/>
        </w:rPr>
        <w:fldChar w:fldCharType="begin"/>
      </w:r>
      <w:r>
        <w:rPr>
          <w:sz w:val="18"/>
          <w:szCs w:val="18"/>
        </w:rPr>
        <w:instrText xml:space="preserve"> HYPERLINK \l _Toc5400 </w:instrText>
      </w:r>
      <w:r>
        <w:rPr>
          <w:sz w:val="18"/>
          <w:szCs w:val="18"/>
        </w:rPr>
        <w:fldChar w:fldCharType="separate"/>
      </w:r>
      <w:r>
        <w:rPr>
          <w:rFonts w:ascii="黑体" w:hAnsi="黑体" w:eastAsia="黑体"/>
          <w:sz w:val="18"/>
          <w:szCs w:val="18"/>
        </w:rPr>
        <w:t>2. 主营业务</w:t>
      </w:r>
      <w:r>
        <w:rPr>
          <w:sz w:val="18"/>
          <w:szCs w:val="18"/>
        </w:rPr>
        <w:tab/>
      </w:r>
      <w:r>
        <w:rPr>
          <w:sz w:val="18"/>
          <w:szCs w:val="18"/>
        </w:rPr>
        <w:fldChar w:fldCharType="begin"/>
      </w:r>
      <w:r>
        <w:rPr>
          <w:sz w:val="18"/>
          <w:szCs w:val="18"/>
        </w:rPr>
        <w:instrText xml:space="preserve"> PAGEREF _Toc5400 \h </w:instrText>
      </w:r>
      <w:r>
        <w:rPr>
          <w:sz w:val="18"/>
          <w:szCs w:val="18"/>
        </w:rPr>
        <w:fldChar w:fldCharType="separate"/>
      </w:r>
      <w:r>
        <w:rPr>
          <w:sz w:val="18"/>
          <w:szCs w:val="18"/>
        </w:rPr>
        <w:t>8</w:t>
      </w:r>
      <w:r>
        <w:rPr>
          <w:sz w:val="18"/>
          <w:szCs w:val="18"/>
        </w:rPr>
        <w:fldChar w:fldCharType="end"/>
      </w:r>
      <w:r>
        <w:rPr>
          <w:sz w:val="18"/>
          <w:szCs w:val="18"/>
        </w:rPr>
        <w:fldChar w:fldCharType="end"/>
      </w:r>
    </w:p>
    <w:p w14:paraId="50928775">
      <w:pPr>
        <w:pStyle w:val="29"/>
        <w:tabs>
          <w:tab w:val="right" w:leader="dot" w:pos="8634"/>
        </w:tabs>
        <w:rPr>
          <w:sz w:val="18"/>
          <w:szCs w:val="18"/>
        </w:rPr>
      </w:pPr>
      <w:r>
        <w:rPr>
          <w:sz w:val="18"/>
          <w:szCs w:val="18"/>
        </w:rPr>
        <w:fldChar w:fldCharType="begin"/>
      </w:r>
      <w:r>
        <w:rPr>
          <w:sz w:val="18"/>
          <w:szCs w:val="18"/>
        </w:rPr>
        <w:instrText xml:space="preserve"> HYPERLINK \l _Toc30441 </w:instrText>
      </w:r>
      <w:r>
        <w:rPr>
          <w:sz w:val="18"/>
          <w:szCs w:val="18"/>
        </w:rPr>
        <w:fldChar w:fldCharType="separate"/>
      </w:r>
      <w:r>
        <w:rPr>
          <w:rFonts w:ascii="黑体" w:hAnsi="黑体" w:eastAsia="黑体"/>
          <w:sz w:val="18"/>
          <w:szCs w:val="18"/>
        </w:rPr>
        <w:t>2.1 商业模式</w:t>
      </w:r>
      <w:r>
        <w:rPr>
          <w:sz w:val="18"/>
          <w:szCs w:val="18"/>
        </w:rPr>
        <w:tab/>
      </w:r>
      <w:r>
        <w:rPr>
          <w:sz w:val="18"/>
          <w:szCs w:val="18"/>
        </w:rPr>
        <w:fldChar w:fldCharType="begin"/>
      </w:r>
      <w:r>
        <w:rPr>
          <w:sz w:val="18"/>
          <w:szCs w:val="18"/>
        </w:rPr>
        <w:instrText xml:space="preserve"> PAGEREF _Toc30441 \h </w:instrText>
      </w:r>
      <w:r>
        <w:rPr>
          <w:sz w:val="18"/>
          <w:szCs w:val="18"/>
        </w:rPr>
        <w:fldChar w:fldCharType="separate"/>
      </w:r>
      <w:r>
        <w:rPr>
          <w:sz w:val="18"/>
          <w:szCs w:val="18"/>
        </w:rPr>
        <w:t>8</w:t>
      </w:r>
      <w:r>
        <w:rPr>
          <w:sz w:val="18"/>
          <w:szCs w:val="18"/>
        </w:rPr>
        <w:fldChar w:fldCharType="end"/>
      </w:r>
      <w:r>
        <w:rPr>
          <w:sz w:val="18"/>
          <w:szCs w:val="18"/>
        </w:rPr>
        <w:fldChar w:fldCharType="end"/>
      </w:r>
    </w:p>
    <w:p w14:paraId="0BCED8F5">
      <w:pPr>
        <w:pStyle w:val="29"/>
        <w:tabs>
          <w:tab w:val="right" w:leader="dot" w:pos="8634"/>
        </w:tabs>
        <w:rPr>
          <w:sz w:val="18"/>
          <w:szCs w:val="18"/>
        </w:rPr>
      </w:pPr>
      <w:r>
        <w:rPr>
          <w:sz w:val="18"/>
          <w:szCs w:val="18"/>
        </w:rPr>
        <w:fldChar w:fldCharType="begin"/>
      </w:r>
      <w:r>
        <w:rPr>
          <w:sz w:val="18"/>
          <w:szCs w:val="18"/>
        </w:rPr>
        <w:instrText xml:space="preserve"> HYPERLINK \l _Toc20376 </w:instrText>
      </w:r>
      <w:r>
        <w:rPr>
          <w:sz w:val="18"/>
          <w:szCs w:val="18"/>
        </w:rPr>
        <w:fldChar w:fldCharType="separate"/>
      </w:r>
      <w:r>
        <w:rPr>
          <w:rFonts w:ascii="黑体" w:hAnsi="黑体" w:eastAsia="黑体"/>
          <w:sz w:val="18"/>
          <w:szCs w:val="18"/>
        </w:rPr>
        <w:t>2.2 业务与营收结构</w:t>
      </w:r>
      <w:r>
        <w:rPr>
          <w:sz w:val="18"/>
          <w:szCs w:val="18"/>
        </w:rPr>
        <w:tab/>
      </w:r>
      <w:r>
        <w:rPr>
          <w:sz w:val="18"/>
          <w:szCs w:val="18"/>
        </w:rPr>
        <w:fldChar w:fldCharType="begin"/>
      </w:r>
      <w:r>
        <w:rPr>
          <w:sz w:val="18"/>
          <w:szCs w:val="18"/>
        </w:rPr>
        <w:instrText xml:space="preserve"> PAGEREF _Toc20376 \h </w:instrText>
      </w:r>
      <w:r>
        <w:rPr>
          <w:sz w:val="18"/>
          <w:szCs w:val="18"/>
        </w:rPr>
        <w:fldChar w:fldCharType="separate"/>
      </w:r>
      <w:r>
        <w:rPr>
          <w:sz w:val="18"/>
          <w:szCs w:val="18"/>
        </w:rPr>
        <w:t>8</w:t>
      </w:r>
      <w:r>
        <w:rPr>
          <w:sz w:val="18"/>
          <w:szCs w:val="18"/>
        </w:rPr>
        <w:fldChar w:fldCharType="end"/>
      </w:r>
      <w:r>
        <w:rPr>
          <w:sz w:val="18"/>
          <w:szCs w:val="18"/>
        </w:rPr>
        <w:fldChar w:fldCharType="end"/>
      </w:r>
    </w:p>
    <w:p w14:paraId="5CC10498">
      <w:pPr>
        <w:pStyle w:val="29"/>
        <w:tabs>
          <w:tab w:val="right" w:leader="dot" w:pos="8634"/>
        </w:tabs>
        <w:rPr>
          <w:sz w:val="18"/>
          <w:szCs w:val="18"/>
        </w:rPr>
      </w:pPr>
      <w:r>
        <w:rPr>
          <w:sz w:val="18"/>
          <w:szCs w:val="18"/>
        </w:rPr>
        <w:fldChar w:fldCharType="begin"/>
      </w:r>
      <w:r>
        <w:rPr>
          <w:sz w:val="18"/>
          <w:szCs w:val="18"/>
        </w:rPr>
        <w:instrText xml:space="preserve"> HYPERLINK \l _Toc21971 </w:instrText>
      </w:r>
      <w:r>
        <w:rPr>
          <w:sz w:val="18"/>
          <w:szCs w:val="18"/>
        </w:rPr>
        <w:fldChar w:fldCharType="separate"/>
      </w:r>
      <w:r>
        <w:rPr>
          <w:rFonts w:ascii="黑体" w:hAnsi="黑体" w:eastAsia="黑体"/>
          <w:sz w:val="18"/>
          <w:szCs w:val="18"/>
        </w:rPr>
        <w:t>2.3 主要客户与供应商</w:t>
      </w:r>
      <w:r>
        <w:rPr>
          <w:sz w:val="18"/>
          <w:szCs w:val="18"/>
        </w:rPr>
        <w:tab/>
      </w:r>
      <w:r>
        <w:rPr>
          <w:sz w:val="18"/>
          <w:szCs w:val="18"/>
        </w:rPr>
        <w:fldChar w:fldCharType="begin"/>
      </w:r>
      <w:r>
        <w:rPr>
          <w:sz w:val="18"/>
          <w:szCs w:val="18"/>
        </w:rPr>
        <w:instrText xml:space="preserve"> PAGEREF _Toc21971 \h </w:instrText>
      </w:r>
      <w:r>
        <w:rPr>
          <w:sz w:val="18"/>
          <w:szCs w:val="18"/>
        </w:rPr>
        <w:fldChar w:fldCharType="separate"/>
      </w:r>
      <w:r>
        <w:rPr>
          <w:sz w:val="18"/>
          <w:szCs w:val="18"/>
        </w:rPr>
        <w:t>9</w:t>
      </w:r>
      <w:r>
        <w:rPr>
          <w:sz w:val="18"/>
          <w:szCs w:val="18"/>
        </w:rPr>
        <w:fldChar w:fldCharType="end"/>
      </w:r>
      <w:r>
        <w:rPr>
          <w:sz w:val="18"/>
          <w:szCs w:val="18"/>
        </w:rPr>
        <w:fldChar w:fldCharType="end"/>
      </w:r>
    </w:p>
    <w:p w14:paraId="07362F61">
      <w:pPr>
        <w:pStyle w:val="29"/>
        <w:tabs>
          <w:tab w:val="right" w:leader="dot" w:pos="8634"/>
        </w:tabs>
        <w:rPr>
          <w:sz w:val="18"/>
          <w:szCs w:val="18"/>
        </w:rPr>
      </w:pPr>
      <w:r>
        <w:rPr>
          <w:sz w:val="18"/>
          <w:szCs w:val="18"/>
        </w:rPr>
        <w:fldChar w:fldCharType="begin"/>
      </w:r>
      <w:r>
        <w:rPr>
          <w:sz w:val="18"/>
          <w:szCs w:val="18"/>
        </w:rPr>
        <w:instrText xml:space="preserve"> HYPERLINK \l _Toc12859 </w:instrText>
      </w:r>
      <w:r>
        <w:rPr>
          <w:sz w:val="18"/>
          <w:szCs w:val="18"/>
        </w:rPr>
        <w:fldChar w:fldCharType="separate"/>
      </w:r>
      <w:r>
        <w:rPr>
          <w:rFonts w:ascii="黑体" w:hAnsi="黑体" w:eastAsia="黑体"/>
          <w:sz w:val="18"/>
          <w:szCs w:val="18"/>
        </w:rPr>
        <w:t>2.4 产能与核心技术</w:t>
      </w:r>
      <w:r>
        <w:rPr>
          <w:sz w:val="18"/>
          <w:szCs w:val="18"/>
        </w:rPr>
        <w:tab/>
      </w:r>
      <w:r>
        <w:rPr>
          <w:sz w:val="18"/>
          <w:szCs w:val="18"/>
        </w:rPr>
        <w:fldChar w:fldCharType="begin"/>
      </w:r>
      <w:r>
        <w:rPr>
          <w:sz w:val="18"/>
          <w:szCs w:val="18"/>
        </w:rPr>
        <w:instrText xml:space="preserve"> PAGEREF _Toc12859 \h </w:instrText>
      </w:r>
      <w:r>
        <w:rPr>
          <w:sz w:val="18"/>
          <w:szCs w:val="18"/>
        </w:rPr>
        <w:fldChar w:fldCharType="separate"/>
      </w:r>
      <w:r>
        <w:rPr>
          <w:sz w:val="18"/>
          <w:szCs w:val="18"/>
        </w:rPr>
        <w:t>9</w:t>
      </w:r>
      <w:r>
        <w:rPr>
          <w:sz w:val="18"/>
          <w:szCs w:val="18"/>
        </w:rPr>
        <w:fldChar w:fldCharType="end"/>
      </w:r>
      <w:r>
        <w:rPr>
          <w:sz w:val="18"/>
          <w:szCs w:val="18"/>
        </w:rPr>
        <w:fldChar w:fldCharType="end"/>
      </w:r>
    </w:p>
    <w:p w14:paraId="19F2354E">
      <w:pPr>
        <w:pStyle w:val="26"/>
        <w:tabs>
          <w:tab w:val="right" w:leader="dot" w:pos="8634"/>
        </w:tabs>
        <w:rPr>
          <w:sz w:val="18"/>
          <w:szCs w:val="18"/>
        </w:rPr>
      </w:pPr>
      <w:r>
        <w:rPr>
          <w:sz w:val="18"/>
          <w:szCs w:val="18"/>
        </w:rPr>
        <w:fldChar w:fldCharType="begin"/>
      </w:r>
      <w:r>
        <w:rPr>
          <w:sz w:val="18"/>
          <w:szCs w:val="18"/>
        </w:rPr>
        <w:instrText xml:space="preserve"> HYPERLINK \l _Toc12261 </w:instrText>
      </w:r>
      <w:r>
        <w:rPr>
          <w:sz w:val="18"/>
          <w:szCs w:val="18"/>
        </w:rPr>
        <w:fldChar w:fldCharType="separate"/>
      </w:r>
      <w:r>
        <w:rPr>
          <w:rFonts w:ascii="黑体" w:hAnsi="黑体" w:eastAsia="黑体"/>
          <w:sz w:val="18"/>
          <w:szCs w:val="18"/>
        </w:rPr>
        <w:t>3. 风险管理环境</w:t>
      </w:r>
      <w:r>
        <w:rPr>
          <w:sz w:val="18"/>
          <w:szCs w:val="18"/>
        </w:rPr>
        <w:tab/>
      </w:r>
      <w:r>
        <w:rPr>
          <w:sz w:val="18"/>
          <w:szCs w:val="18"/>
        </w:rPr>
        <w:fldChar w:fldCharType="begin"/>
      </w:r>
      <w:r>
        <w:rPr>
          <w:sz w:val="18"/>
          <w:szCs w:val="18"/>
        </w:rPr>
        <w:instrText xml:space="preserve"> PAGEREF _Toc12261 \h </w:instrText>
      </w:r>
      <w:r>
        <w:rPr>
          <w:sz w:val="18"/>
          <w:szCs w:val="18"/>
        </w:rPr>
        <w:fldChar w:fldCharType="separate"/>
      </w:r>
      <w:r>
        <w:rPr>
          <w:sz w:val="18"/>
          <w:szCs w:val="18"/>
        </w:rPr>
        <w:t>10</w:t>
      </w:r>
      <w:r>
        <w:rPr>
          <w:sz w:val="18"/>
          <w:szCs w:val="18"/>
        </w:rPr>
        <w:fldChar w:fldCharType="end"/>
      </w:r>
      <w:r>
        <w:rPr>
          <w:sz w:val="18"/>
          <w:szCs w:val="18"/>
        </w:rPr>
        <w:fldChar w:fldCharType="end"/>
      </w:r>
    </w:p>
    <w:p w14:paraId="229F4E36">
      <w:pPr>
        <w:pStyle w:val="29"/>
        <w:tabs>
          <w:tab w:val="right" w:leader="dot" w:pos="8634"/>
        </w:tabs>
        <w:rPr>
          <w:sz w:val="18"/>
          <w:szCs w:val="18"/>
        </w:rPr>
      </w:pPr>
      <w:r>
        <w:rPr>
          <w:sz w:val="18"/>
          <w:szCs w:val="18"/>
        </w:rPr>
        <w:fldChar w:fldCharType="begin"/>
      </w:r>
      <w:r>
        <w:rPr>
          <w:sz w:val="18"/>
          <w:szCs w:val="18"/>
        </w:rPr>
        <w:instrText xml:space="preserve"> HYPERLINK \l _Toc7604 </w:instrText>
      </w:r>
      <w:r>
        <w:rPr>
          <w:sz w:val="18"/>
          <w:szCs w:val="18"/>
        </w:rPr>
        <w:fldChar w:fldCharType="separate"/>
      </w:r>
      <w:r>
        <w:rPr>
          <w:rFonts w:ascii="黑体" w:hAnsi="黑体" w:eastAsia="黑体"/>
          <w:sz w:val="18"/>
          <w:szCs w:val="18"/>
        </w:rPr>
        <w:t>3.1 企业风控体系与投资人逻辑</w:t>
      </w:r>
      <w:r>
        <w:rPr>
          <w:sz w:val="18"/>
          <w:szCs w:val="18"/>
        </w:rPr>
        <w:tab/>
      </w:r>
      <w:r>
        <w:rPr>
          <w:sz w:val="18"/>
          <w:szCs w:val="18"/>
        </w:rPr>
        <w:fldChar w:fldCharType="begin"/>
      </w:r>
      <w:r>
        <w:rPr>
          <w:sz w:val="18"/>
          <w:szCs w:val="18"/>
        </w:rPr>
        <w:instrText xml:space="preserve"> PAGEREF _Toc7604 \h </w:instrText>
      </w:r>
      <w:r>
        <w:rPr>
          <w:sz w:val="18"/>
          <w:szCs w:val="18"/>
        </w:rPr>
        <w:fldChar w:fldCharType="separate"/>
      </w:r>
      <w:r>
        <w:rPr>
          <w:sz w:val="18"/>
          <w:szCs w:val="18"/>
        </w:rPr>
        <w:t>10</w:t>
      </w:r>
      <w:r>
        <w:rPr>
          <w:sz w:val="18"/>
          <w:szCs w:val="18"/>
        </w:rPr>
        <w:fldChar w:fldCharType="end"/>
      </w:r>
      <w:r>
        <w:rPr>
          <w:sz w:val="18"/>
          <w:szCs w:val="18"/>
        </w:rPr>
        <w:fldChar w:fldCharType="end"/>
      </w:r>
    </w:p>
    <w:p w14:paraId="1D527C48">
      <w:pPr>
        <w:pStyle w:val="29"/>
        <w:tabs>
          <w:tab w:val="right" w:leader="dot" w:pos="8634"/>
        </w:tabs>
        <w:rPr>
          <w:sz w:val="18"/>
          <w:szCs w:val="18"/>
        </w:rPr>
      </w:pPr>
      <w:r>
        <w:rPr>
          <w:sz w:val="18"/>
          <w:szCs w:val="18"/>
        </w:rPr>
        <w:fldChar w:fldCharType="begin"/>
      </w:r>
      <w:r>
        <w:rPr>
          <w:sz w:val="18"/>
          <w:szCs w:val="18"/>
        </w:rPr>
        <w:instrText xml:space="preserve"> HYPERLINK \l _Toc402 </w:instrText>
      </w:r>
      <w:r>
        <w:rPr>
          <w:sz w:val="18"/>
          <w:szCs w:val="18"/>
        </w:rPr>
        <w:fldChar w:fldCharType="separate"/>
      </w:r>
      <w:r>
        <w:rPr>
          <w:rFonts w:ascii="黑体" w:hAnsi="黑体" w:eastAsia="黑体"/>
          <w:sz w:val="18"/>
          <w:szCs w:val="18"/>
        </w:rPr>
        <w:t>3.2 外部风险</w:t>
      </w:r>
      <w:r>
        <w:rPr>
          <w:sz w:val="18"/>
          <w:szCs w:val="18"/>
        </w:rPr>
        <w:tab/>
      </w:r>
      <w:r>
        <w:rPr>
          <w:sz w:val="18"/>
          <w:szCs w:val="18"/>
        </w:rPr>
        <w:fldChar w:fldCharType="begin"/>
      </w:r>
      <w:r>
        <w:rPr>
          <w:sz w:val="18"/>
          <w:szCs w:val="18"/>
        </w:rPr>
        <w:instrText xml:space="preserve"> PAGEREF _Toc402 \h </w:instrText>
      </w:r>
      <w:r>
        <w:rPr>
          <w:sz w:val="18"/>
          <w:szCs w:val="18"/>
        </w:rPr>
        <w:fldChar w:fldCharType="separate"/>
      </w:r>
      <w:r>
        <w:rPr>
          <w:sz w:val="18"/>
          <w:szCs w:val="18"/>
        </w:rPr>
        <w:t>10</w:t>
      </w:r>
      <w:r>
        <w:rPr>
          <w:sz w:val="18"/>
          <w:szCs w:val="18"/>
        </w:rPr>
        <w:fldChar w:fldCharType="end"/>
      </w:r>
      <w:r>
        <w:rPr>
          <w:sz w:val="18"/>
          <w:szCs w:val="18"/>
        </w:rPr>
        <w:fldChar w:fldCharType="end"/>
      </w:r>
    </w:p>
    <w:p w14:paraId="6B9E03A5">
      <w:pPr>
        <w:pStyle w:val="29"/>
        <w:tabs>
          <w:tab w:val="right" w:leader="dot" w:pos="8634"/>
        </w:tabs>
        <w:rPr>
          <w:sz w:val="18"/>
          <w:szCs w:val="18"/>
        </w:rPr>
      </w:pPr>
      <w:r>
        <w:rPr>
          <w:sz w:val="18"/>
          <w:szCs w:val="18"/>
        </w:rPr>
        <w:fldChar w:fldCharType="begin"/>
      </w:r>
      <w:r>
        <w:rPr>
          <w:sz w:val="18"/>
          <w:szCs w:val="18"/>
        </w:rPr>
        <w:instrText xml:space="preserve"> HYPERLINK \l _Toc26888 </w:instrText>
      </w:r>
      <w:r>
        <w:rPr>
          <w:sz w:val="18"/>
          <w:szCs w:val="18"/>
        </w:rPr>
        <w:fldChar w:fldCharType="separate"/>
      </w:r>
      <w:r>
        <w:rPr>
          <w:rFonts w:ascii="黑体" w:hAnsi="黑体" w:eastAsia="黑体"/>
          <w:sz w:val="18"/>
          <w:szCs w:val="18"/>
        </w:rPr>
        <w:t>3.3 内部风险</w:t>
      </w:r>
      <w:r>
        <w:rPr>
          <w:sz w:val="18"/>
          <w:szCs w:val="18"/>
        </w:rPr>
        <w:tab/>
      </w:r>
      <w:r>
        <w:rPr>
          <w:sz w:val="18"/>
          <w:szCs w:val="18"/>
        </w:rPr>
        <w:fldChar w:fldCharType="begin"/>
      </w:r>
      <w:r>
        <w:rPr>
          <w:sz w:val="18"/>
          <w:szCs w:val="18"/>
        </w:rPr>
        <w:instrText xml:space="preserve"> PAGEREF _Toc26888 \h </w:instrText>
      </w:r>
      <w:r>
        <w:rPr>
          <w:sz w:val="18"/>
          <w:szCs w:val="18"/>
        </w:rPr>
        <w:fldChar w:fldCharType="separate"/>
      </w:r>
      <w:r>
        <w:rPr>
          <w:sz w:val="18"/>
          <w:szCs w:val="18"/>
        </w:rPr>
        <w:t>11</w:t>
      </w:r>
      <w:r>
        <w:rPr>
          <w:sz w:val="18"/>
          <w:szCs w:val="18"/>
        </w:rPr>
        <w:fldChar w:fldCharType="end"/>
      </w:r>
      <w:r>
        <w:rPr>
          <w:sz w:val="18"/>
          <w:szCs w:val="18"/>
        </w:rPr>
        <w:fldChar w:fldCharType="end"/>
      </w:r>
    </w:p>
    <w:p w14:paraId="2A028919">
      <w:pPr>
        <w:pStyle w:val="26"/>
        <w:tabs>
          <w:tab w:val="right" w:leader="dot" w:pos="8634"/>
        </w:tabs>
        <w:rPr>
          <w:sz w:val="18"/>
          <w:szCs w:val="18"/>
        </w:rPr>
      </w:pPr>
      <w:r>
        <w:rPr>
          <w:sz w:val="18"/>
          <w:szCs w:val="18"/>
        </w:rPr>
        <w:fldChar w:fldCharType="begin"/>
      </w:r>
      <w:r>
        <w:rPr>
          <w:sz w:val="18"/>
          <w:szCs w:val="18"/>
        </w:rPr>
        <w:instrText xml:space="preserve"> HYPERLINK \l _Toc26784 </w:instrText>
      </w:r>
      <w:r>
        <w:rPr>
          <w:sz w:val="18"/>
          <w:szCs w:val="18"/>
        </w:rPr>
        <w:fldChar w:fldCharType="separate"/>
      </w:r>
      <w:r>
        <w:rPr>
          <w:rFonts w:ascii="黑体" w:hAnsi="黑体" w:eastAsia="黑体"/>
          <w:sz w:val="18"/>
          <w:szCs w:val="18"/>
        </w:rPr>
        <w:t>4. 风险评估</w:t>
      </w:r>
      <w:r>
        <w:rPr>
          <w:sz w:val="18"/>
          <w:szCs w:val="18"/>
        </w:rPr>
        <w:tab/>
      </w:r>
      <w:r>
        <w:rPr>
          <w:sz w:val="18"/>
          <w:szCs w:val="18"/>
        </w:rPr>
        <w:fldChar w:fldCharType="begin"/>
      </w:r>
      <w:r>
        <w:rPr>
          <w:sz w:val="18"/>
          <w:szCs w:val="18"/>
        </w:rPr>
        <w:instrText xml:space="preserve"> PAGEREF _Toc26784 \h </w:instrText>
      </w:r>
      <w:r>
        <w:rPr>
          <w:sz w:val="18"/>
          <w:szCs w:val="18"/>
        </w:rPr>
        <w:fldChar w:fldCharType="separate"/>
      </w:r>
      <w:r>
        <w:rPr>
          <w:sz w:val="18"/>
          <w:szCs w:val="18"/>
        </w:rPr>
        <w:t>13</w:t>
      </w:r>
      <w:r>
        <w:rPr>
          <w:sz w:val="18"/>
          <w:szCs w:val="18"/>
        </w:rPr>
        <w:fldChar w:fldCharType="end"/>
      </w:r>
      <w:r>
        <w:rPr>
          <w:sz w:val="18"/>
          <w:szCs w:val="18"/>
        </w:rPr>
        <w:fldChar w:fldCharType="end"/>
      </w:r>
    </w:p>
    <w:p w14:paraId="3B32B7B1">
      <w:pPr>
        <w:pStyle w:val="29"/>
        <w:tabs>
          <w:tab w:val="right" w:leader="dot" w:pos="8634"/>
        </w:tabs>
        <w:rPr>
          <w:sz w:val="18"/>
          <w:szCs w:val="18"/>
        </w:rPr>
      </w:pPr>
      <w:r>
        <w:rPr>
          <w:sz w:val="18"/>
          <w:szCs w:val="18"/>
        </w:rPr>
        <w:fldChar w:fldCharType="begin"/>
      </w:r>
      <w:r>
        <w:rPr>
          <w:sz w:val="18"/>
          <w:szCs w:val="18"/>
        </w:rPr>
        <w:instrText xml:space="preserve"> HYPERLINK \l _Toc14940 </w:instrText>
      </w:r>
      <w:r>
        <w:rPr>
          <w:sz w:val="18"/>
          <w:szCs w:val="18"/>
        </w:rPr>
        <w:fldChar w:fldCharType="separate"/>
      </w:r>
      <w:r>
        <w:rPr>
          <w:rFonts w:ascii="黑体" w:hAnsi="黑体" w:eastAsia="黑体"/>
          <w:sz w:val="18"/>
          <w:szCs w:val="18"/>
        </w:rPr>
        <w:t>4.1 风险评估方法论</w:t>
      </w:r>
      <w:r>
        <w:rPr>
          <w:sz w:val="18"/>
          <w:szCs w:val="18"/>
        </w:rPr>
        <w:tab/>
      </w:r>
      <w:r>
        <w:rPr>
          <w:sz w:val="18"/>
          <w:szCs w:val="18"/>
        </w:rPr>
        <w:fldChar w:fldCharType="begin"/>
      </w:r>
      <w:r>
        <w:rPr>
          <w:sz w:val="18"/>
          <w:szCs w:val="18"/>
        </w:rPr>
        <w:instrText xml:space="preserve"> PAGEREF _Toc14940 \h </w:instrText>
      </w:r>
      <w:r>
        <w:rPr>
          <w:sz w:val="18"/>
          <w:szCs w:val="18"/>
        </w:rPr>
        <w:fldChar w:fldCharType="separate"/>
      </w:r>
      <w:r>
        <w:rPr>
          <w:sz w:val="18"/>
          <w:szCs w:val="18"/>
        </w:rPr>
        <w:t>13</w:t>
      </w:r>
      <w:r>
        <w:rPr>
          <w:sz w:val="18"/>
          <w:szCs w:val="18"/>
        </w:rPr>
        <w:fldChar w:fldCharType="end"/>
      </w:r>
      <w:r>
        <w:rPr>
          <w:sz w:val="18"/>
          <w:szCs w:val="18"/>
        </w:rPr>
        <w:fldChar w:fldCharType="end"/>
      </w:r>
    </w:p>
    <w:p w14:paraId="05169098">
      <w:pPr>
        <w:pStyle w:val="29"/>
        <w:tabs>
          <w:tab w:val="right" w:leader="dot" w:pos="8634"/>
        </w:tabs>
        <w:rPr>
          <w:sz w:val="18"/>
          <w:szCs w:val="18"/>
        </w:rPr>
      </w:pPr>
      <w:r>
        <w:rPr>
          <w:sz w:val="18"/>
          <w:szCs w:val="18"/>
        </w:rPr>
        <w:fldChar w:fldCharType="begin"/>
      </w:r>
      <w:r>
        <w:rPr>
          <w:sz w:val="18"/>
          <w:szCs w:val="18"/>
        </w:rPr>
        <w:instrText xml:space="preserve"> HYPERLINK \l _Toc15441 </w:instrText>
      </w:r>
      <w:r>
        <w:rPr>
          <w:sz w:val="18"/>
          <w:szCs w:val="18"/>
        </w:rPr>
        <w:fldChar w:fldCharType="separate"/>
      </w:r>
      <w:r>
        <w:rPr>
          <w:rFonts w:ascii="黑体" w:hAnsi="黑体" w:eastAsia="黑体"/>
          <w:sz w:val="18"/>
          <w:szCs w:val="18"/>
        </w:rPr>
        <w:t>4.2 风险矩阵总览</w:t>
      </w:r>
      <w:r>
        <w:rPr>
          <w:sz w:val="18"/>
          <w:szCs w:val="18"/>
        </w:rPr>
        <w:tab/>
      </w:r>
      <w:r>
        <w:rPr>
          <w:sz w:val="18"/>
          <w:szCs w:val="18"/>
        </w:rPr>
        <w:fldChar w:fldCharType="begin"/>
      </w:r>
      <w:r>
        <w:rPr>
          <w:sz w:val="18"/>
          <w:szCs w:val="18"/>
        </w:rPr>
        <w:instrText xml:space="preserve"> PAGEREF _Toc15441 \h </w:instrText>
      </w:r>
      <w:r>
        <w:rPr>
          <w:sz w:val="18"/>
          <w:szCs w:val="18"/>
        </w:rPr>
        <w:fldChar w:fldCharType="separate"/>
      </w:r>
      <w:r>
        <w:rPr>
          <w:sz w:val="18"/>
          <w:szCs w:val="18"/>
        </w:rPr>
        <w:t>13</w:t>
      </w:r>
      <w:r>
        <w:rPr>
          <w:sz w:val="18"/>
          <w:szCs w:val="18"/>
        </w:rPr>
        <w:fldChar w:fldCharType="end"/>
      </w:r>
      <w:r>
        <w:rPr>
          <w:sz w:val="18"/>
          <w:szCs w:val="18"/>
        </w:rPr>
        <w:fldChar w:fldCharType="end"/>
      </w:r>
    </w:p>
    <w:p w14:paraId="199C1F48">
      <w:pPr>
        <w:pStyle w:val="29"/>
        <w:tabs>
          <w:tab w:val="right" w:leader="dot" w:pos="8634"/>
        </w:tabs>
        <w:rPr>
          <w:sz w:val="18"/>
          <w:szCs w:val="18"/>
        </w:rPr>
      </w:pPr>
      <w:r>
        <w:rPr>
          <w:sz w:val="18"/>
          <w:szCs w:val="18"/>
        </w:rPr>
        <w:fldChar w:fldCharType="begin"/>
      </w:r>
      <w:r>
        <w:rPr>
          <w:sz w:val="18"/>
          <w:szCs w:val="18"/>
        </w:rPr>
        <w:instrText xml:space="preserve"> HYPERLINK \l _Toc22247 </w:instrText>
      </w:r>
      <w:r>
        <w:rPr>
          <w:sz w:val="18"/>
          <w:szCs w:val="18"/>
        </w:rPr>
        <w:fldChar w:fldCharType="separate"/>
      </w:r>
      <w:r>
        <w:rPr>
          <w:rFonts w:ascii="黑体" w:hAnsi="黑体" w:eastAsia="黑体"/>
          <w:sz w:val="18"/>
          <w:szCs w:val="18"/>
        </w:rPr>
        <w:t>4.3 重大风险详细分析</w:t>
      </w:r>
      <w:r>
        <w:rPr>
          <w:sz w:val="18"/>
          <w:szCs w:val="18"/>
        </w:rPr>
        <w:tab/>
      </w:r>
      <w:r>
        <w:rPr>
          <w:sz w:val="18"/>
          <w:szCs w:val="18"/>
        </w:rPr>
        <w:fldChar w:fldCharType="begin"/>
      </w:r>
      <w:r>
        <w:rPr>
          <w:sz w:val="18"/>
          <w:szCs w:val="18"/>
        </w:rPr>
        <w:instrText xml:space="preserve"> PAGEREF _Toc22247 \h </w:instrText>
      </w:r>
      <w:r>
        <w:rPr>
          <w:sz w:val="18"/>
          <w:szCs w:val="18"/>
        </w:rPr>
        <w:fldChar w:fldCharType="separate"/>
      </w:r>
      <w:r>
        <w:rPr>
          <w:sz w:val="18"/>
          <w:szCs w:val="18"/>
        </w:rPr>
        <w:t>15</w:t>
      </w:r>
      <w:r>
        <w:rPr>
          <w:sz w:val="18"/>
          <w:szCs w:val="18"/>
        </w:rPr>
        <w:fldChar w:fldCharType="end"/>
      </w:r>
      <w:r>
        <w:rPr>
          <w:sz w:val="18"/>
          <w:szCs w:val="18"/>
        </w:rPr>
        <w:fldChar w:fldCharType="end"/>
      </w:r>
    </w:p>
    <w:p w14:paraId="44D63FDD">
      <w:pPr>
        <w:pStyle w:val="26"/>
        <w:tabs>
          <w:tab w:val="right" w:leader="dot" w:pos="8634"/>
        </w:tabs>
        <w:rPr>
          <w:sz w:val="18"/>
          <w:szCs w:val="18"/>
        </w:rPr>
      </w:pPr>
      <w:r>
        <w:rPr>
          <w:sz w:val="18"/>
          <w:szCs w:val="18"/>
        </w:rPr>
        <w:fldChar w:fldCharType="begin"/>
      </w:r>
      <w:r>
        <w:rPr>
          <w:sz w:val="18"/>
          <w:szCs w:val="18"/>
        </w:rPr>
        <w:instrText xml:space="preserve"> HYPERLINK \l _Toc21491 </w:instrText>
      </w:r>
      <w:r>
        <w:rPr>
          <w:sz w:val="18"/>
          <w:szCs w:val="18"/>
        </w:rPr>
        <w:fldChar w:fldCharType="separate"/>
      </w:r>
      <w:r>
        <w:rPr>
          <w:rFonts w:ascii="黑体" w:hAnsi="黑体" w:eastAsia="黑体"/>
          <w:sz w:val="18"/>
          <w:szCs w:val="18"/>
        </w:rPr>
        <w:t>5. 风险应对</w:t>
      </w:r>
      <w:r>
        <w:rPr>
          <w:sz w:val="18"/>
          <w:szCs w:val="18"/>
        </w:rPr>
        <w:tab/>
      </w:r>
      <w:r>
        <w:rPr>
          <w:sz w:val="18"/>
          <w:szCs w:val="18"/>
        </w:rPr>
        <w:fldChar w:fldCharType="begin"/>
      </w:r>
      <w:r>
        <w:rPr>
          <w:sz w:val="18"/>
          <w:szCs w:val="18"/>
        </w:rPr>
        <w:instrText xml:space="preserve"> PAGEREF _Toc21491 \h </w:instrText>
      </w:r>
      <w:r>
        <w:rPr>
          <w:sz w:val="18"/>
          <w:szCs w:val="18"/>
        </w:rPr>
        <w:fldChar w:fldCharType="separate"/>
      </w:r>
      <w:r>
        <w:rPr>
          <w:sz w:val="18"/>
          <w:szCs w:val="18"/>
        </w:rPr>
        <w:t>18</w:t>
      </w:r>
      <w:r>
        <w:rPr>
          <w:sz w:val="18"/>
          <w:szCs w:val="18"/>
        </w:rPr>
        <w:fldChar w:fldCharType="end"/>
      </w:r>
      <w:r>
        <w:rPr>
          <w:sz w:val="18"/>
          <w:szCs w:val="18"/>
        </w:rPr>
        <w:fldChar w:fldCharType="end"/>
      </w:r>
    </w:p>
    <w:p w14:paraId="4D796ED1">
      <w:pPr>
        <w:pStyle w:val="29"/>
        <w:tabs>
          <w:tab w:val="right" w:leader="dot" w:pos="8634"/>
        </w:tabs>
        <w:rPr>
          <w:sz w:val="18"/>
          <w:szCs w:val="18"/>
        </w:rPr>
      </w:pPr>
      <w:r>
        <w:rPr>
          <w:sz w:val="18"/>
          <w:szCs w:val="18"/>
        </w:rPr>
        <w:fldChar w:fldCharType="begin"/>
      </w:r>
      <w:r>
        <w:rPr>
          <w:sz w:val="18"/>
          <w:szCs w:val="18"/>
        </w:rPr>
        <w:instrText xml:space="preserve"> HYPERLINK \l _Toc11220 </w:instrText>
      </w:r>
      <w:r>
        <w:rPr>
          <w:sz w:val="18"/>
          <w:szCs w:val="18"/>
        </w:rPr>
        <w:fldChar w:fldCharType="separate"/>
      </w:r>
      <w:r>
        <w:rPr>
          <w:rFonts w:ascii="黑体" w:hAnsi="黑体" w:eastAsia="黑体"/>
          <w:sz w:val="18"/>
          <w:szCs w:val="18"/>
        </w:rPr>
        <w:t>5.1 R1监管与政策风险的应对</w:t>
      </w:r>
      <w:r>
        <w:rPr>
          <w:sz w:val="18"/>
          <w:szCs w:val="18"/>
        </w:rPr>
        <w:tab/>
      </w:r>
      <w:r>
        <w:rPr>
          <w:sz w:val="18"/>
          <w:szCs w:val="18"/>
        </w:rPr>
        <w:fldChar w:fldCharType="begin"/>
      </w:r>
      <w:r>
        <w:rPr>
          <w:sz w:val="18"/>
          <w:szCs w:val="18"/>
        </w:rPr>
        <w:instrText xml:space="preserve"> PAGEREF _Toc11220 \h </w:instrText>
      </w:r>
      <w:r>
        <w:rPr>
          <w:sz w:val="18"/>
          <w:szCs w:val="18"/>
        </w:rPr>
        <w:fldChar w:fldCharType="separate"/>
      </w:r>
      <w:r>
        <w:rPr>
          <w:sz w:val="18"/>
          <w:szCs w:val="18"/>
        </w:rPr>
        <w:t>18</w:t>
      </w:r>
      <w:r>
        <w:rPr>
          <w:sz w:val="18"/>
          <w:szCs w:val="18"/>
        </w:rPr>
        <w:fldChar w:fldCharType="end"/>
      </w:r>
      <w:r>
        <w:rPr>
          <w:sz w:val="18"/>
          <w:szCs w:val="18"/>
        </w:rPr>
        <w:fldChar w:fldCharType="end"/>
      </w:r>
    </w:p>
    <w:p w14:paraId="1EA1D3F0">
      <w:pPr>
        <w:pStyle w:val="29"/>
        <w:tabs>
          <w:tab w:val="right" w:leader="dot" w:pos="8634"/>
        </w:tabs>
        <w:rPr>
          <w:sz w:val="18"/>
          <w:szCs w:val="18"/>
        </w:rPr>
      </w:pPr>
      <w:r>
        <w:rPr>
          <w:sz w:val="18"/>
          <w:szCs w:val="18"/>
        </w:rPr>
        <w:fldChar w:fldCharType="begin"/>
      </w:r>
      <w:r>
        <w:rPr>
          <w:sz w:val="18"/>
          <w:szCs w:val="18"/>
        </w:rPr>
        <w:instrText xml:space="preserve"> HYPERLINK \l _Toc22229 </w:instrText>
      </w:r>
      <w:r>
        <w:rPr>
          <w:sz w:val="18"/>
          <w:szCs w:val="18"/>
        </w:rPr>
        <w:fldChar w:fldCharType="separate"/>
      </w:r>
      <w:r>
        <w:rPr>
          <w:rFonts w:ascii="黑体" w:hAnsi="黑体" w:eastAsia="黑体"/>
          <w:sz w:val="18"/>
          <w:szCs w:val="18"/>
        </w:rPr>
        <w:t>5.2 R2行业竞争风险的应对</w:t>
      </w:r>
      <w:r>
        <w:rPr>
          <w:sz w:val="18"/>
          <w:szCs w:val="18"/>
        </w:rPr>
        <w:tab/>
      </w:r>
      <w:r>
        <w:rPr>
          <w:sz w:val="18"/>
          <w:szCs w:val="18"/>
        </w:rPr>
        <w:fldChar w:fldCharType="begin"/>
      </w:r>
      <w:r>
        <w:rPr>
          <w:sz w:val="18"/>
          <w:szCs w:val="18"/>
        </w:rPr>
        <w:instrText xml:space="preserve"> PAGEREF _Toc22229 \h </w:instrText>
      </w:r>
      <w:r>
        <w:rPr>
          <w:sz w:val="18"/>
          <w:szCs w:val="18"/>
        </w:rPr>
        <w:fldChar w:fldCharType="separate"/>
      </w:r>
      <w:r>
        <w:rPr>
          <w:sz w:val="18"/>
          <w:szCs w:val="18"/>
        </w:rPr>
        <w:t>19</w:t>
      </w:r>
      <w:r>
        <w:rPr>
          <w:sz w:val="18"/>
          <w:szCs w:val="18"/>
        </w:rPr>
        <w:fldChar w:fldCharType="end"/>
      </w:r>
      <w:r>
        <w:rPr>
          <w:sz w:val="18"/>
          <w:szCs w:val="18"/>
        </w:rPr>
        <w:fldChar w:fldCharType="end"/>
      </w:r>
    </w:p>
    <w:p w14:paraId="226348E7">
      <w:pPr>
        <w:pStyle w:val="29"/>
        <w:tabs>
          <w:tab w:val="right" w:leader="dot" w:pos="8634"/>
        </w:tabs>
        <w:rPr>
          <w:sz w:val="18"/>
          <w:szCs w:val="18"/>
        </w:rPr>
      </w:pPr>
      <w:r>
        <w:rPr>
          <w:sz w:val="18"/>
          <w:szCs w:val="18"/>
        </w:rPr>
        <w:fldChar w:fldCharType="begin"/>
      </w:r>
      <w:r>
        <w:rPr>
          <w:sz w:val="18"/>
          <w:szCs w:val="18"/>
        </w:rPr>
        <w:instrText xml:space="preserve"> HYPERLINK \l _Toc7896 </w:instrText>
      </w:r>
      <w:r>
        <w:rPr>
          <w:sz w:val="18"/>
          <w:szCs w:val="18"/>
        </w:rPr>
        <w:fldChar w:fldCharType="separate"/>
      </w:r>
      <w:r>
        <w:rPr>
          <w:rFonts w:ascii="黑体" w:hAnsi="黑体" w:eastAsia="黑体"/>
          <w:sz w:val="18"/>
          <w:szCs w:val="18"/>
        </w:rPr>
        <w:t>5.3 R3地缘政治与制裁风险的应对</w:t>
      </w:r>
      <w:r>
        <w:rPr>
          <w:sz w:val="18"/>
          <w:szCs w:val="18"/>
        </w:rPr>
        <w:tab/>
      </w:r>
      <w:r>
        <w:rPr>
          <w:sz w:val="18"/>
          <w:szCs w:val="18"/>
        </w:rPr>
        <w:fldChar w:fldCharType="begin"/>
      </w:r>
      <w:r>
        <w:rPr>
          <w:sz w:val="18"/>
          <w:szCs w:val="18"/>
        </w:rPr>
        <w:instrText xml:space="preserve"> PAGEREF _Toc7896 \h </w:instrText>
      </w:r>
      <w:r>
        <w:rPr>
          <w:sz w:val="18"/>
          <w:szCs w:val="18"/>
        </w:rPr>
        <w:fldChar w:fldCharType="separate"/>
      </w:r>
      <w:r>
        <w:rPr>
          <w:sz w:val="18"/>
          <w:szCs w:val="18"/>
        </w:rPr>
        <w:t>20</w:t>
      </w:r>
      <w:r>
        <w:rPr>
          <w:sz w:val="18"/>
          <w:szCs w:val="18"/>
        </w:rPr>
        <w:fldChar w:fldCharType="end"/>
      </w:r>
      <w:r>
        <w:rPr>
          <w:sz w:val="18"/>
          <w:szCs w:val="18"/>
        </w:rPr>
        <w:fldChar w:fldCharType="end"/>
      </w:r>
    </w:p>
    <w:p w14:paraId="3CCF2AAB">
      <w:pPr>
        <w:pStyle w:val="29"/>
        <w:tabs>
          <w:tab w:val="right" w:leader="dot" w:pos="8634"/>
        </w:tabs>
        <w:rPr>
          <w:sz w:val="18"/>
          <w:szCs w:val="18"/>
        </w:rPr>
      </w:pPr>
      <w:r>
        <w:rPr>
          <w:sz w:val="18"/>
          <w:szCs w:val="18"/>
        </w:rPr>
        <w:fldChar w:fldCharType="begin"/>
      </w:r>
      <w:r>
        <w:rPr>
          <w:sz w:val="18"/>
          <w:szCs w:val="18"/>
        </w:rPr>
        <w:instrText xml:space="preserve"> HYPERLINK \l _Toc2284 </w:instrText>
      </w:r>
      <w:r>
        <w:rPr>
          <w:sz w:val="18"/>
          <w:szCs w:val="18"/>
        </w:rPr>
        <w:fldChar w:fldCharType="separate"/>
      </w:r>
      <w:r>
        <w:rPr>
          <w:rFonts w:ascii="黑体" w:hAnsi="黑体" w:eastAsia="黑体"/>
          <w:sz w:val="18"/>
          <w:szCs w:val="18"/>
        </w:rPr>
        <w:t>5.4 R4 AI战略转型风险的应对</w:t>
      </w:r>
      <w:r>
        <w:rPr>
          <w:sz w:val="18"/>
          <w:szCs w:val="18"/>
        </w:rPr>
        <w:tab/>
      </w:r>
      <w:r>
        <w:rPr>
          <w:sz w:val="18"/>
          <w:szCs w:val="18"/>
        </w:rPr>
        <w:fldChar w:fldCharType="begin"/>
      </w:r>
      <w:r>
        <w:rPr>
          <w:sz w:val="18"/>
          <w:szCs w:val="18"/>
        </w:rPr>
        <w:instrText xml:space="preserve"> PAGEREF _Toc2284 \h </w:instrText>
      </w:r>
      <w:r>
        <w:rPr>
          <w:sz w:val="18"/>
          <w:szCs w:val="18"/>
        </w:rPr>
        <w:fldChar w:fldCharType="separate"/>
      </w:r>
      <w:r>
        <w:rPr>
          <w:sz w:val="18"/>
          <w:szCs w:val="18"/>
        </w:rPr>
        <w:t>21</w:t>
      </w:r>
      <w:r>
        <w:rPr>
          <w:sz w:val="18"/>
          <w:szCs w:val="18"/>
        </w:rPr>
        <w:fldChar w:fldCharType="end"/>
      </w:r>
      <w:r>
        <w:rPr>
          <w:sz w:val="18"/>
          <w:szCs w:val="18"/>
        </w:rPr>
        <w:fldChar w:fldCharType="end"/>
      </w:r>
    </w:p>
    <w:p w14:paraId="1FB4BAF4">
      <w:pPr>
        <w:pStyle w:val="26"/>
        <w:tabs>
          <w:tab w:val="right" w:leader="dot" w:pos="8634"/>
        </w:tabs>
        <w:rPr>
          <w:sz w:val="18"/>
          <w:szCs w:val="18"/>
        </w:rPr>
      </w:pPr>
      <w:r>
        <w:rPr>
          <w:sz w:val="18"/>
          <w:szCs w:val="18"/>
        </w:rPr>
        <w:fldChar w:fldCharType="begin"/>
      </w:r>
      <w:r>
        <w:rPr>
          <w:sz w:val="18"/>
          <w:szCs w:val="18"/>
        </w:rPr>
        <w:instrText xml:space="preserve"> HYPERLINK \l _Toc27843 </w:instrText>
      </w:r>
      <w:r>
        <w:rPr>
          <w:sz w:val="18"/>
          <w:szCs w:val="18"/>
        </w:rPr>
        <w:fldChar w:fldCharType="separate"/>
      </w:r>
      <w:r>
        <w:rPr>
          <w:rFonts w:ascii="黑体" w:hAnsi="黑体" w:eastAsia="黑体"/>
          <w:sz w:val="18"/>
          <w:szCs w:val="18"/>
        </w:rPr>
        <w:t>6. 内控机制</w:t>
      </w:r>
      <w:r>
        <w:rPr>
          <w:sz w:val="18"/>
          <w:szCs w:val="18"/>
        </w:rPr>
        <w:tab/>
      </w:r>
      <w:r>
        <w:rPr>
          <w:sz w:val="18"/>
          <w:szCs w:val="18"/>
        </w:rPr>
        <w:fldChar w:fldCharType="begin"/>
      </w:r>
      <w:r>
        <w:rPr>
          <w:sz w:val="18"/>
          <w:szCs w:val="18"/>
        </w:rPr>
        <w:instrText xml:space="preserve"> PAGEREF _Toc27843 \h </w:instrText>
      </w:r>
      <w:r>
        <w:rPr>
          <w:sz w:val="18"/>
          <w:szCs w:val="18"/>
        </w:rPr>
        <w:fldChar w:fldCharType="separate"/>
      </w:r>
      <w:r>
        <w:rPr>
          <w:sz w:val="18"/>
          <w:szCs w:val="18"/>
        </w:rPr>
        <w:t>22</w:t>
      </w:r>
      <w:r>
        <w:rPr>
          <w:sz w:val="18"/>
          <w:szCs w:val="18"/>
        </w:rPr>
        <w:fldChar w:fldCharType="end"/>
      </w:r>
      <w:r>
        <w:rPr>
          <w:sz w:val="18"/>
          <w:szCs w:val="18"/>
        </w:rPr>
        <w:fldChar w:fldCharType="end"/>
      </w:r>
    </w:p>
    <w:p w14:paraId="3F605AB1">
      <w:pPr>
        <w:pStyle w:val="29"/>
        <w:tabs>
          <w:tab w:val="right" w:leader="dot" w:pos="8634"/>
        </w:tabs>
        <w:rPr>
          <w:sz w:val="18"/>
          <w:szCs w:val="18"/>
        </w:rPr>
      </w:pPr>
      <w:r>
        <w:rPr>
          <w:sz w:val="18"/>
          <w:szCs w:val="18"/>
        </w:rPr>
        <w:fldChar w:fldCharType="begin"/>
      </w:r>
      <w:r>
        <w:rPr>
          <w:sz w:val="18"/>
          <w:szCs w:val="18"/>
        </w:rPr>
        <w:instrText xml:space="preserve"> HYPERLINK \l _Toc25016 </w:instrText>
      </w:r>
      <w:r>
        <w:rPr>
          <w:sz w:val="18"/>
          <w:szCs w:val="18"/>
        </w:rPr>
        <w:fldChar w:fldCharType="separate"/>
      </w:r>
      <w:r>
        <w:rPr>
          <w:rFonts w:ascii="黑体" w:hAnsi="黑体" w:eastAsia="黑体"/>
          <w:sz w:val="18"/>
          <w:szCs w:val="18"/>
        </w:rPr>
        <w:t>6.1 治理结构</w:t>
      </w:r>
      <w:r>
        <w:rPr>
          <w:sz w:val="18"/>
          <w:szCs w:val="18"/>
        </w:rPr>
        <w:tab/>
      </w:r>
      <w:r>
        <w:rPr>
          <w:sz w:val="18"/>
          <w:szCs w:val="18"/>
        </w:rPr>
        <w:fldChar w:fldCharType="begin"/>
      </w:r>
      <w:r>
        <w:rPr>
          <w:sz w:val="18"/>
          <w:szCs w:val="18"/>
        </w:rPr>
        <w:instrText xml:space="preserve"> PAGEREF _Toc25016 \h </w:instrText>
      </w:r>
      <w:r>
        <w:rPr>
          <w:sz w:val="18"/>
          <w:szCs w:val="18"/>
        </w:rPr>
        <w:fldChar w:fldCharType="separate"/>
      </w:r>
      <w:r>
        <w:rPr>
          <w:sz w:val="18"/>
          <w:szCs w:val="18"/>
        </w:rPr>
        <w:t>22</w:t>
      </w:r>
      <w:r>
        <w:rPr>
          <w:sz w:val="18"/>
          <w:szCs w:val="18"/>
        </w:rPr>
        <w:fldChar w:fldCharType="end"/>
      </w:r>
      <w:r>
        <w:rPr>
          <w:sz w:val="18"/>
          <w:szCs w:val="18"/>
        </w:rPr>
        <w:fldChar w:fldCharType="end"/>
      </w:r>
    </w:p>
    <w:p w14:paraId="66A5781A">
      <w:pPr>
        <w:pStyle w:val="29"/>
        <w:tabs>
          <w:tab w:val="right" w:leader="dot" w:pos="8634"/>
        </w:tabs>
        <w:rPr>
          <w:sz w:val="18"/>
          <w:szCs w:val="18"/>
        </w:rPr>
      </w:pPr>
      <w:r>
        <w:rPr>
          <w:sz w:val="18"/>
          <w:szCs w:val="18"/>
        </w:rPr>
        <w:fldChar w:fldCharType="begin"/>
      </w:r>
      <w:r>
        <w:rPr>
          <w:sz w:val="18"/>
          <w:szCs w:val="18"/>
        </w:rPr>
        <w:instrText xml:space="preserve"> HYPERLINK \l _Toc19802 </w:instrText>
      </w:r>
      <w:r>
        <w:rPr>
          <w:sz w:val="18"/>
          <w:szCs w:val="18"/>
        </w:rPr>
        <w:fldChar w:fldCharType="separate"/>
      </w:r>
      <w:r>
        <w:rPr>
          <w:rFonts w:ascii="黑体" w:hAnsi="黑体" w:eastAsia="黑体"/>
          <w:sz w:val="18"/>
          <w:szCs w:val="18"/>
        </w:rPr>
        <w:t>6.2 三道防线</w:t>
      </w:r>
      <w:r>
        <w:rPr>
          <w:sz w:val="18"/>
          <w:szCs w:val="18"/>
        </w:rPr>
        <w:tab/>
      </w:r>
      <w:r>
        <w:rPr>
          <w:sz w:val="18"/>
          <w:szCs w:val="18"/>
        </w:rPr>
        <w:fldChar w:fldCharType="begin"/>
      </w:r>
      <w:r>
        <w:rPr>
          <w:sz w:val="18"/>
          <w:szCs w:val="18"/>
        </w:rPr>
        <w:instrText xml:space="preserve"> PAGEREF _Toc19802 \h </w:instrText>
      </w:r>
      <w:r>
        <w:rPr>
          <w:sz w:val="18"/>
          <w:szCs w:val="18"/>
        </w:rPr>
        <w:fldChar w:fldCharType="separate"/>
      </w:r>
      <w:r>
        <w:rPr>
          <w:sz w:val="18"/>
          <w:szCs w:val="18"/>
        </w:rPr>
        <w:t>22</w:t>
      </w:r>
      <w:r>
        <w:rPr>
          <w:sz w:val="18"/>
          <w:szCs w:val="18"/>
        </w:rPr>
        <w:fldChar w:fldCharType="end"/>
      </w:r>
      <w:r>
        <w:rPr>
          <w:sz w:val="18"/>
          <w:szCs w:val="18"/>
        </w:rPr>
        <w:fldChar w:fldCharType="end"/>
      </w:r>
    </w:p>
    <w:p w14:paraId="0160AE24">
      <w:pPr>
        <w:pStyle w:val="29"/>
        <w:tabs>
          <w:tab w:val="right" w:leader="dot" w:pos="8634"/>
        </w:tabs>
        <w:rPr>
          <w:sz w:val="18"/>
          <w:szCs w:val="18"/>
        </w:rPr>
      </w:pPr>
      <w:r>
        <w:rPr>
          <w:sz w:val="18"/>
          <w:szCs w:val="18"/>
        </w:rPr>
        <w:fldChar w:fldCharType="begin"/>
      </w:r>
      <w:r>
        <w:rPr>
          <w:sz w:val="18"/>
          <w:szCs w:val="18"/>
        </w:rPr>
        <w:instrText xml:space="preserve"> HYPERLINK \l _Toc26401 </w:instrText>
      </w:r>
      <w:r>
        <w:rPr>
          <w:sz w:val="18"/>
          <w:szCs w:val="18"/>
        </w:rPr>
        <w:fldChar w:fldCharType="separate"/>
      </w:r>
      <w:r>
        <w:rPr>
          <w:rFonts w:ascii="黑体" w:hAnsi="黑体" w:eastAsia="黑体"/>
          <w:sz w:val="18"/>
          <w:szCs w:val="18"/>
        </w:rPr>
        <w:t>6.3 主要内控制度</w:t>
      </w:r>
      <w:r>
        <w:rPr>
          <w:sz w:val="18"/>
          <w:szCs w:val="18"/>
        </w:rPr>
        <w:tab/>
      </w:r>
      <w:r>
        <w:rPr>
          <w:sz w:val="18"/>
          <w:szCs w:val="18"/>
        </w:rPr>
        <w:fldChar w:fldCharType="begin"/>
      </w:r>
      <w:r>
        <w:rPr>
          <w:sz w:val="18"/>
          <w:szCs w:val="18"/>
        </w:rPr>
        <w:instrText xml:space="preserve"> PAGEREF _Toc26401 \h </w:instrText>
      </w:r>
      <w:r>
        <w:rPr>
          <w:sz w:val="18"/>
          <w:szCs w:val="18"/>
        </w:rPr>
        <w:fldChar w:fldCharType="separate"/>
      </w:r>
      <w:r>
        <w:rPr>
          <w:sz w:val="18"/>
          <w:szCs w:val="18"/>
        </w:rPr>
        <w:t>23</w:t>
      </w:r>
      <w:r>
        <w:rPr>
          <w:sz w:val="18"/>
          <w:szCs w:val="18"/>
        </w:rPr>
        <w:fldChar w:fldCharType="end"/>
      </w:r>
      <w:r>
        <w:rPr>
          <w:sz w:val="18"/>
          <w:szCs w:val="18"/>
        </w:rPr>
        <w:fldChar w:fldCharType="end"/>
      </w:r>
    </w:p>
    <w:p w14:paraId="675E0FA7">
      <w:pPr>
        <w:pStyle w:val="29"/>
        <w:tabs>
          <w:tab w:val="right" w:leader="dot" w:pos="8634"/>
        </w:tabs>
        <w:rPr>
          <w:sz w:val="18"/>
          <w:szCs w:val="18"/>
        </w:rPr>
      </w:pPr>
      <w:r>
        <w:rPr>
          <w:sz w:val="18"/>
          <w:szCs w:val="18"/>
        </w:rPr>
        <w:fldChar w:fldCharType="begin"/>
      </w:r>
      <w:r>
        <w:rPr>
          <w:sz w:val="18"/>
          <w:szCs w:val="18"/>
        </w:rPr>
        <w:instrText xml:space="preserve"> HYPERLINK \l _Toc3895 </w:instrText>
      </w:r>
      <w:r>
        <w:rPr>
          <w:sz w:val="18"/>
          <w:szCs w:val="18"/>
        </w:rPr>
        <w:fldChar w:fldCharType="separate"/>
      </w:r>
      <w:r>
        <w:rPr>
          <w:rFonts w:ascii="黑体" w:hAnsi="黑体" w:eastAsia="黑体"/>
          <w:sz w:val="18"/>
          <w:szCs w:val="18"/>
        </w:rPr>
        <w:t>6.4 内控与风险管理的关系</w:t>
      </w:r>
      <w:r>
        <w:rPr>
          <w:sz w:val="18"/>
          <w:szCs w:val="18"/>
        </w:rPr>
        <w:tab/>
      </w:r>
      <w:r>
        <w:rPr>
          <w:sz w:val="18"/>
          <w:szCs w:val="18"/>
        </w:rPr>
        <w:fldChar w:fldCharType="begin"/>
      </w:r>
      <w:r>
        <w:rPr>
          <w:sz w:val="18"/>
          <w:szCs w:val="18"/>
        </w:rPr>
        <w:instrText xml:space="preserve"> PAGEREF _Toc3895 \h </w:instrText>
      </w:r>
      <w:r>
        <w:rPr>
          <w:sz w:val="18"/>
          <w:szCs w:val="18"/>
        </w:rPr>
        <w:fldChar w:fldCharType="separate"/>
      </w:r>
      <w:r>
        <w:rPr>
          <w:sz w:val="18"/>
          <w:szCs w:val="18"/>
        </w:rPr>
        <w:t>24</w:t>
      </w:r>
      <w:r>
        <w:rPr>
          <w:sz w:val="18"/>
          <w:szCs w:val="18"/>
        </w:rPr>
        <w:fldChar w:fldCharType="end"/>
      </w:r>
      <w:r>
        <w:rPr>
          <w:sz w:val="18"/>
          <w:szCs w:val="18"/>
        </w:rPr>
        <w:fldChar w:fldCharType="end"/>
      </w:r>
    </w:p>
    <w:p w14:paraId="484030E1">
      <w:pPr>
        <w:pStyle w:val="26"/>
        <w:tabs>
          <w:tab w:val="right" w:leader="dot" w:pos="8634"/>
        </w:tabs>
        <w:rPr>
          <w:sz w:val="18"/>
          <w:szCs w:val="18"/>
        </w:rPr>
      </w:pPr>
      <w:r>
        <w:rPr>
          <w:sz w:val="18"/>
          <w:szCs w:val="18"/>
        </w:rPr>
        <w:fldChar w:fldCharType="begin"/>
      </w:r>
      <w:r>
        <w:rPr>
          <w:sz w:val="18"/>
          <w:szCs w:val="18"/>
        </w:rPr>
        <w:instrText xml:space="preserve"> HYPERLINK \l _Toc21602 </w:instrText>
      </w:r>
      <w:r>
        <w:rPr>
          <w:sz w:val="18"/>
          <w:szCs w:val="18"/>
        </w:rPr>
        <w:fldChar w:fldCharType="separate"/>
      </w:r>
      <w:r>
        <w:rPr>
          <w:rFonts w:ascii="黑体" w:hAnsi="黑体" w:eastAsia="黑体"/>
          <w:sz w:val="18"/>
          <w:szCs w:val="18"/>
        </w:rPr>
        <w:t>7. 监督与改进</w:t>
      </w:r>
      <w:r>
        <w:rPr>
          <w:sz w:val="18"/>
          <w:szCs w:val="18"/>
        </w:rPr>
        <w:tab/>
      </w:r>
      <w:r>
        <w:rPr>
          <w:sz w:val="18"/>
          <w:szCs w:val="18"/>
        </w:rPr>
        <w:fldChar w:fldCharType="begin"/>
      </w:r>
      <w:r>
        <w:rPr>
          <w:sz w:val="18"/>
          <w:szCs w:val="18"/>
        </w:rPr>
        <w:instrText xml:space="preserve"> PAGEREF _Toc21602 \h </w:instrText>
      </w:r>
      <w:r>
        <w:rPr>
          <w:sz w:val="18"/>
          <w:szCs w:val="18"/>
        </w:rPr>
        <w:fldChar w:fldCharType="separate"/>
      </w:r>
      <w:r>
        <w:rPr>
          <w:sz w:val="18"/>
          <w:szCs w:val="18"/>
        </w:rPr>
        <w:t>24</w:t>
      </w:r>
      <w:r>
        <w:rPr>
          <w:sz w:val="18"/>
          <w:szCs w:val="18"/>
        </w:rPr>
        <w:fldChar w:fldCharType="end"/>
      </w:r>
      <w:r>
        <w:rPr>
          <w:sz w:val="18"/>
          <w:szCs w:val="18"/>
        </w:rPr>
        <w:fldChar w:fldCharType="end"/>
      </w:r>
    </w:p>
    <w:p w14:paraId="164EA929">
      <w:pPr>
        <w:pStyle w:val="29"/>
        <w:tabs>
          <w:tab w:val="right" w:leader="dot" w:pos="8634"/>
        </w:tabs>
        <w:rPr>
          <w:sz w:val="18"/>
          <w:szCs w:val="18"/>
        </w:rPr>
      </w:pPr>
      <w:r>
        <w:rPr>
          <w:sz w:val="18"/>
          <w:szCs w:val="18"/>
        </w:rPr>
        <w:fldChar w:fldCharType="begin"/>
      </w:r>
      <w:r>
        <w:rPr>
          <w:sz w:val="18"/>
          <w:szCs w:val="18"/>
        </w:rPr>
        <w:instrText xml:space="preserve"> HYPERLINK \l _Toc13195 </w:instrText>
      </w:r>
      <w:r>
        <w:rPr>
          <w:sz w:val="18"/>
          <w:szCs w:val="18"/>
        </w:rPr>
        <w:fldChar w:fldCharType="separate"/>
      </w:r>
      <w:r>
        <w:rPr>
          <w:rFonts w:ascii="黑体" w:hAnsi="黑体" w:eastAsia="黑体"/>
          <w:sz w:val="18"/>
          <w:szCs w:val="18"/>
        </w:rPr>
        <w:t>7.1 监督主体</w:t>
      </w:r>
      <w:r>
        <w:rPr>
          <w:sz w:val="18"/>
          <w:szCs w:val="18"/>
        </w:rPr>
        <w:tab/>
      </w:r>
      <w:r>
        <w:rPr>
          <w:sz w:val="18"/>
          <w:szCs w:val="18"/>
        </w:rPr>
        <w:fldChar w:fldCharType="begin"/>
      </w:r>
      <w:r>
        <w:rPr>
          <w:sz w:val="18"/>
          <w:szCs w:val="18"/>
        </w:rPr>
        <w:instrText xml:space="preserve"> PAGEREF _Toc13195 \h </w:instrText>
      </w:r>
      <w:r>
        <w:rPr>
          <w:sz w:val="18"/>
          <w:szCs w:val="18"/>
        </w:rPr>
        <w:fldChar w:fldCharType="separate"/>
      </w:r>
      <w:r>
        <w:rPr>
          <w:sz w:val="18"/>
          <w:szCs w:val="18"/>
        </w:rPr>
        <w:t>24</w:t>
      </w:r>
      <w:r>
        <w:rPr>
          <w:sz w:val="18"/>
          <w:szCs w:val="18"/>
        </w:rPr>
        <w:fldChar w:fldCharType="end"/>
      </w:r>
      <w:r>
        <w:rPr>
          <w:sz w:val="18"/>
          <w:szCs w:val="18"/>
        </w:rPr>
        <w:fldChar w:fldCharType="end"/>
      </w:r>
    </w:p>
    <w:p w14:paraId="555037D9">
      <w:pPr>
        <w:pStyle w:val="29"/>
        <w:tabs>
          <w:tab w:val="right" w:leader="dot" w:pos="8634"/>
        </w:tabs>
        <w:rPr>
          <w:sz w:val="18"/>
          <w:szCs w:val="18"/>
        </w:rPr>
      </w:pPr>
      <w:r>
        <w:rPr>
          <w:sz w:val="18"/>
          <w:szCs w:val="18"/>
        </w:rPr>
        <w:fldChar w:fldCharType="begin"/>
      </w:r>
      <w:r>
        <w:rPr>
          <w:sz w:val="18"/>
          <w:szCs w:val="18"/>
        </w:rPr>
        <w:instrText xml:space="preserve"> HYPERLINK \l _Toc5444 </w:instrText>
      </w:r>
      <w:r>
        <w:rPr>
          <w:sz w:val="18"/>
          <w:szCs w:val="18"/>
        </w:rPr>
        <w:fldChar w:fldCharType="separate"/>
      </w:r>
      <w:r>
        <w:rPr>
          <w:rFonts w:ascii="黑体" w:hAnsi="黑体" w:eastAsia="黑体"/>
          <w:sz w:val="18"/>
          <w:szCs w:val="18"/>
        </w:rPr>
        <w:t>7.2 信息披露</w:t>
      </w:r>
      <w:r>
        <w:rPr>
          <w:sz w:val="18"/>
          <w:szCs w:val="18"/>
        </w:rPr>
        <w:tab/>
      </w:r>
      <w:r>
        <w:rPr>
          <w:sz w:val="18"/>
          <w:szCs w:val="18"/>
        </w:rPr>
        <w:fldChar w:fldCharType="begin"/>
      </w:r>
      <w:r>
        <w:rPr>
          <w:sz w:val="18"/>
          <w:szCs w:val="18"/>
        </w:rPr>
        <w:instrText xml:space="preserve"> PAGEREF _Toc5444 \h </w:instrText>
      </w:r>
      <w:r>
        <w:rPr>
          <w:sz w:val="18"/>
          <w:szCs w:val="18"/>
        </w:rPr>
        <w:fldChar w:fldCharType="separate"/>
      </w:r>
      <w:r>
        <w:rPr>
          <w:sz w:val="18"/>
          <w:szCs w:val="18"/>
        </w:rPr>
        <w:t>25</w:t>
      </w:r>
      <w:r>
        <w:rPr>
          <w:sz w:val="18"/>
          <w:szCs w:val="18"/>
        </w:rPr>
        <w:fldChar w:fldCharType="end"/>
      </w:r>
      <w:r>
        <w:rPr>
          <w:sz w:val="18"/>
          <w:szCs w:val="18"/>
        </w:rPr>
        <w:fldChar w:fldCharType="end"/>
      </w:r>
    </w:p>
    <w:p w14:paraId="47D76FD4">
      <w:pPr>
        <w:pStyle w:val="29"/>
        <w:tabs>
          <w:tab w:val="right" w:leader="dot" w:pos="8634"/>
        </w:tabs>
        <w:rPr>
          <w:sz w:val="18"/>
          <w:szCs w:val="18"/>
        </w:rPr>
      </w:pPr>
      <w:r>
        <w:rPr>
          <w:sz w:val="18"/>
          <w:szCs w:val="18"/>
        </w:rPr>
        <w:fldChar w:fldCharType="begin"/>
      </w:r>
      <w:r>
        <w:rPr>
          <w:sz w:val="18"/>
          <w:szCs w:val="18"/>
        </w:rPr>
        <w:instrText xml:space="preserve"> HYPERLINK \l _Toc4330 </w:instrText>
      </w:r>
      <w:r>
        <w:rPr>
          <w:sz w:val="18"/>
          <w:szCs w:val="18"/>
        </w:rPr>
        <w:fldChar w:fldCharType="separate"/>
      </w:r>
      <w:r>
        <w:rPr>
          <w:rFonts w:ascii="黑体" w:hAnsi="黑体" w:eastAsia="黑体"/>
          <w:sz w:val="18"/>
          <w:szCs w:val="18"/>
        </w:rPr>
        <w:t>7.3 整改与持续改进机制</w:t>
      </w:r>
      <w:r>
        <w:rPr>
          <w:sz w:val="18"/>
          <w:szCs w:val="18"/>
        </w:rPr>
        <w:tab/>
      </w:r>
      <w:r>
        <w:rPr>
          <w:sz w:val="18"/>
          <w:szCs w:val="18"/>
        </w:rPr>
        <w:fldChar w:fldCharType="begin"/>
      </w:r>
      <w:r>
        <w:rPr>
          <w:sz w:val="18"/>
          <w:szCs w:val="18"/>
        </w:rPr>
        <w:instrText xml:space="preserve"> PAGEREF _Toc4330 \h </w:instrText>
      </w:r>
      <w:r>
        <w:rPr>
          <w:sz w:val="18"/>
          <w:szCs w:val="18"/>
        </w:rPr>
        <w:fldChar w:fldCharType="separate"/>
      </w:r>
      <w:r>
        <w:rPr>
          <w:sz w:val="18"/>
          <w:szCs w:val="18"/>
        </w:rPr>
        <w:t>25</w:t>
      </w:r>
      <w:r>
        <w:rPr>
          <w:sz w:val="18"/>
          <w:szCs w:val="18"/>
        </w:rPr>
        <w:fldChar w:fldCharType="end"/>
      </w:r>
      <w:r>
        <w:rPr>
          <w:sz w:val="18"/>
          <w:szCs w:val="18"/>
        </w:rPr>
        <w:fldChar w:fldCharType="end"/>
      </w:r>
    </w:p>
    <w:p w14:paraId="250477A8">
      <w:pPr>
        <w:pStyle w:val="29"/>
        <w:tabs>
          <w:tab w:val="right" w:leader="dot" w:pos="8634"/>
        </w:tabs>
        <w:rPr>
          <w:sz w:val="18"/>
          <w:szCs w:val="18"/>
        </w:rPr>
      </w:pPr>
      <w:r>
        <w:rPr>
          <w:sz w:val="18"/>
          <w:szCs w:val="18"/>
        </w:rPr>
        <w:fldChar w:fldCharType="begin"/>
      </w:r>
      <w:r>
        <w:rPr>
          <w:sz w:val="18"/>
          <w:szCs w:val="18"/>
        </w:rPr>
        <w:instrText xml:space="preserve"> HYPERLINK \l _Toc8245 </w:instrText>
      </w:r>
      <w:r>
        <w:rPr>
          <w:sz w:val="18"/>
          <w:szCs w:val="18"/>
        </w:rPr>
        <w:fldChar w:fldCharType="separate"/>
      </w:r>
      <w:r>
        <w:rPr>
          <w:rFonts w:ascii="黑体" w:hAnsi="黑体" w:eastAsia="黑体"/>
          <w:sz w:val="18"/>
          <w:szCs w:val="18"/>
        </w:rPr>
        <w:t>7.4 持续改进建议</w:t>
      </w:r>
      <w:r>
        <w:rPr>
          <w:sz w:val="18"/>
          <w:szCs w:val="18"/>
        </w:rPr>
        <w:tab/>
      </w:r>
      <w:r>
        <w:rPr>
          <w:sz w:val="18"/>
          <w:szCs w:val="18"/>
        </w:rPr>
        <w:fldChar w:fldCharType="begin"/>
      </w:r>
      <w:r>
        <w:rPr>
          <w:sz w:val="18"/>
          <w:szCs w:val="18"/>
        </w:rPr>
        <w:instrText xml:space="preserve"> PAGEREF _Toc8245 \h </w:instrText>
      </w:r>
      <w:r>
        <w:rPr>
          <w:sz w:val="18"/>
          <w:szCs w:val="18"/>
        </w:rPr>
        <w:fldChar w:fldCharType="separate"/>
      </w:r>
      <w:r>
        <w:rPr>
          <w:sz w:val="18"/>
          <w:szCs w:val="18"/>
        </w:rPr>
        <w:t>26</w:t>
      </w:r>
      <w:r>
        <w:rPr>
          <w:sz w:val="18"/>
          <w:szCs w:val="18"/>
        </w:rPr>
        <w:fldChar w:fldCharType="end"/>
      </w:r>
      <w:r>
        <w:rPr>
          <w:sz w:val="18"/>
          <w:szCs w:val="18"/>
        </w:rPr>
        <w:fldChar w:fldCharType="end"/>
      </w:r>
    </w:p>
    <w:p w14:paraId="523C3221">
      <w:pPr>
        <w:pStyle w:val="26"/>
        <w:tabs>
          <w:tab w:val="right" w:leader="dot" w:pos="8634"/>
        </w:tabs>
        <w:rPr>
          <w:sz w:val="18"/>
          <w:szCs w:val="18"/>
        </w:rPr>
      </w:pPr>
      <w:r>
        <w:rPr>
          <w:sz w:val="18"/>
          <w:szCs w:val="18"/>
        </w:rPr>
        <w:fldChar w:fldCharType="begin"/>
      </w:r>
      <w:r>
        <w:rPr>
          <w:sz w:val="18"/>
          <w:szCs w:val="18"/>
        </w:rPr>
        <w:instrText xml:space="preserve"> HYPERLINK \l _Toc32144 </w:instrText>
      </w:r>
      <w:r>
        <w:rPr>
          <w:sz w:val="18"/>
          <w:szCs w:val="18"/>
        </w:rPr>
        <w:fldChar w:fldCharType="separate"/>
      </w:r>
      <w:r>
        <w:rPr>
          <w:rFonts w:ascii="黑体" w:hAnsi="黑体" w:eastAsia="黑体"/>
          <w:sz w:val="18"/>
          <w:szCs w:val="18"/>
        </w:rPr>
        <w:t>8. 总结与讨论</w:t>
      </w:r>
      <w:r>
        <w:rPr>
          <w:sz w:val="18"/>
          <w:szCs w:val="18"/>
        </w:rPr>
        <w:tab/>
      </w:r>
      <w:r>
        <w:rPr>
          <w:sz w:val="18"/>
          <w:szCs w:val="18"/>
        </w:rPr>
        <w:fldChar w:fldCharType="begin"/>
      </w:r>
      <w:r>
        <w:rPr>
          <w:sz w:val="18"/>
          <w:szCs w:val="18"/>
        </w:rPr>
        <w:instrText xml:space="preserve"> PAGEREF _Toc32144 \h </w:instrText>
      </w:r>
      <w:r>
        <w:rPr>
          <w:sz w:val="18"/>
          <w:szCs w:val="18"/>
        </w:rPr>
        <w:fldChar w:fldCharType="separate"/>
      </w:r>
      <w:r>
        <w:rPr>
          <w:sz w:val="18"/>
          <w:szCs w:val="18"/>
        </w:rPr>
        <w:t>26</w:t>
      </w:r>
      <w:r>
        <w:rPr>
          <w:sz w:val="18"/>
          <w:szCs w:val="18"/>
        </w:rPr>
        <w:fldChar w:fldCharType="end"/>
      </w:r>
      <w:r>
        <w:rPr>
          <w:sz w:val="18"/>
          <w:szCs w:val="18"/>
        </w:rPr>
        <w:fldChar w:fldCharType="end"/>
      </w:r>
    </w:p>
    <w:p w14:paraId="529ED012">
      <w:pPr>
        <w:pStyle w:val="29"/>
        <w:tabs>
          <w:tab w:val="right" w:leader="dot" w:pos="8634"/>
        </w:tabs>
        <w:rPr>
          <w:sz w:val="18"/>
          <w:szCs w:val="18"/>
        </w:rPr>
      </w:pPr>
      <w:r>
        <w:rPr>
          <w:sz w:val="18"/>
          <w:szCs w:val="18"/>
        </w:rPr>
        <w:fldChar w:fldCharType="begin"/>
      </w:r>
      <w:r>
        <w:rPr>
          <w:sz w:val="18"/>
          <w:szCs w:val="18"/>
        </w:rPr>
        <w:instrText xml:space="preserve"> HYPERLINK \l _Toc19960 </w:instrText>
      </w:r>
      <w:r>
        <w:rPr>
          <w:sz w:val="18"/>
          <w:szCs w:val="18"/>
        </w:rPr>
        <w:fldChar w:fldCharType="separate"/>
      </w:r>
      <w:r>
        <w:rPr>
          <w:rFonts w:ascii="黑体" w:hAnsi="黑体" w:eastAsia="黑体"/>
          <w:sz w:val="18"/>
          <w:szCs w:val="18"/>
        </w:rPr>
        <w:t>8.1 报告优势</w:t>
      </w:r>
      <w:r>
        <w:rPr>
          <w:sz w:val="18"/>
          <w:szCs w:val="18"/>
        </w:rPr>
        <w:tab/>
      </w:r>
      <w:r>
        <w:rPr>
          <w:sz w:val="18"/>
          <w:szCs w:val="18"/>
        </w:rPr>
        <w:fldChar w:fldCharType="begin"/>
      </w:r>
      <w:r>
        <w:rPr>
          <w:sz w:val="18"/>
          <w:szCs w:val="18"/>
        </w:rPr>
        <w:instrText xml:space="preserve"> PAGEREF _Toc19960 \h </w:instrText>
      </w:r>
      <w:r>
        <w:rPr>
          <w:sz w:val="18"/>
          <w:szCs w:val="18"/>
        </w:rPr>
        <w:fldChar w:fldCharType="separate"/>
      </w:r>
      <w:r>
        <w:rPr>
          <w:sz w:val="18"/>
          <w:szCs w:val="18"/>
        </w:rPr>
        <w:t>26</w:t>
      </w:r>
      <w:r>
        <w:rPr>
          <w:sz w:val="18"/>
          <w:szCs w:val="18"/>
        </w:rPr>
        <w:fldChar w:fldCharType="end"/>
      </w:r>
      <w:r>
        <w:rPr>
          <w:sz w:val="18"/>
          <w:szCs w:val="18"/>
        </w:rPr>
        <w:fldChar w:fldCharType="end"/>
      </w:r>
    </w:p>
    <w:p w14:paraId="3D4D6848">
      <w:pPr>
        <w:pStyle w:val="29"/>
        <w:tabs>
          <w:tab w:val="right" w:leader="dot" w:pos="8634"/>
        </w:tabs>
        <w:rPr>
          <w:sz w:val="18"/>
          <w:szCs w:val="18"/>
        </w:rPr>
      </w:pPr>
      <w:r>
        <w:rPr>
          <w:sz w:val="18"/>
          <w:szCs w:val="18"/>
        </w:rPr>
        <w:fldChar w:fldCharType="begin"/>
      </w:r>
      <w:r>
        <w:rPr>
          <w:sz w:val="18"/>
          <w:szCs w:val="18"/>
        </w:rPr>
        <w:instrText xml:space="preserve"> HYPERLINK \l _Toc17604 </w:instrText>
      </w:r>
      <w:r>
        <w:rPr>
          <w:sz w:val="18"/>
          <w:szCs w:val="18"/>
        </w:rPr>
        <w:fldChar w:fldCharType="separate"/>
      </w:r>
      <w:r>
        <w:rPr>
          <w:rFonts w:ascii="黑体" w:hAnsi="黑体" w:eastAsia="黑体"/>
          <w:sz w:val="18"/>
          <w:szCs w:val="18"/>
        </w:rPr>
        <w:t>8.2 报告局限性</w:t>
      </w:r>
      <w:r>
        <w:rPr>
          <w:sz w:val="18"/>
          <w:szCs w:val="18"/>
        </w:rPr>
        <w:tab/>
      </w:r>
      <w:r>
        <w:rPr>
          <w:sz w:val="18"/>
          <w:szCs w:val="18"/>
        </w:rPr>
        <w:fldChar w:fldCharType="begin"/>
      </w:r>
      <w:r>
        <w:rPr>
          <w:sz w:val="18"/>
          <w:szCs w:val="18"/>
        </w:rPr>
        <w:instrText xml:space="preserve"> PAGEREF _Toc17604 \h </w:instrText>
      </w:r>
      <w:r>
        <w:rPr>
          <w:sz w:val="18"/>
          <w:szCs w:val="18"/>
        </w:rPr>
        <w:fldChar w:fldCharType="separate"/>
      </w:r>
      <w:r>
        <w:rPr>
          <w:sz w:val="18"/>
          <w:szCs w:val="18"/>
        </w:rPr>
        <w:t>27</w:t>
      </w:r>
      <w:r>
        <w:rPr>
          <w:sz w:val="18"/>
          <w:szCs w:val="18"/>
        </w:rPr>
        <w:fldChar w:fldCharType="end"/>
      </w:r>
      <w:r>
        <w:rPr>
          <w:sz w:val="18"/>
          <w:szCs w:val="18"/>
        </w:rPr>
        <w:fldChar w:fldCharType="end"/>
      </w:r>
    </w:p>
    <w:p w14:paraId="55B0812A">
      <w:pPr>
        <w:pStyle w:val="29"/>
        <w:tabs>
          <w:tab w:val="right" w:leader="dot" w:pos="8634"/>
        </w:tabs>
        <w:rPr>
          <w:sz w:val="18"/>
          <w:szCs w:val="18"/>
        </w:rPr>
      </w:pPr>
      <w:r>
        <w:rPr>
          <w:sz w:val="18"/>
          <w:szCs w:val="18"/>
        </w:rPr>
        <w:fldChar w:fldCharType="begin"/>
      </w:r>
      <w:r>
        <w:rPr>
          <w:sz w:val="18"/>
          <w:szCs w:val="18"/>
        </w:rPr>
        <w:instrText xml:space="preserve"> HYPERLINK \l _Toc1032 </w:instrText>
      </w:r>
      <w:r>
        <w:rPr>
          <w:sz w:val="18"/>
          <w:szCs w:val="18"/>
        </w:rPr>
        <w:fldChar w:fldCharType="separate"/>
      </w:r>
      <w:r>
        <w:rPr>
          <w:rFonts w:ascii="黑体" w:hAnsi="黑体" w:eastAsia="黑体"/>
          <w:sz w:val="18"/>
          <w:szCs w:val="18"/>
        </w:rPr>
        <w:t>8.3 未来新风险展望</w:t>
      </w:r>
      <w:r>
        <w:rPr>
          <w:sz w:val="18"/>
          <w:szCs w:val="18"/>
        </w:rPr>
        <w:tab/>
      </w:r>
      <w:r>
        <w:rPr>
          <w:sz w:val="18"/>
          <w:szCs w:val="18"/>
        </w:rPr>
        <w:fldChar w:fldCharType="begin"/>
      </w:r>
      <w:r>
        <w:rPr>
          <w:sz w:val="18"/>
          <w:szCs w:val="18"/>
        </w:rPr>
        <w:instrText xml:space="preserve"> PAGEREF _Toc1032 \h </w:instrText>
      </w:r>
      <w:r>
        <w:rPr>
          <w:sz w:val="18"/>
          <w:szCs w:val="18"/>
        </w:rPr>
        <w:fldChar w:fldCharType="separate"/>
      </w:r>
      <w:r>
        <w:rPr>
          <w:sz w:val="18"/>
          <w:szCs w:val="18"/>
        </w:rPr>
        <w:t>27</w:t>
      </w:r>
      <w:r>
        <w:rPr>
          <w:sz w:val="18"/>
          <w:szCs w:val="18"/>
        </w:rPr>
        <w:fldChar w:fldCharType="end"/>
      </w:r>
      <w:r>
        <w:rPr>
          <w:sz w:val="18"/>
          <w:szCs w:val="18"/>
        </w:rPr>
        <w:fldChar w:fldCharType="end"/>
      </w:r>
    </w:p>
    <w:p w14:paraId="35DADC9E">
      <w:pPr>
        <w:pStyle w:val="29"/>
        <w:tabs>
          <w:tab w:val="right" w:leader="dot" w:pos="8634"/>
        </w:tabs>
        <w:rPr>
          <w:sz w:val="18"/>
          <w:szCs w:val="18"/>
        </w:rPr>
      </w:pPr>
      <w:r>
        <w:rPr>
          <w:sz w:val="18"/>
          <w:szCs w:val="18"/>
        </w:rPr>
        <w:fldChar w:fldCharType="begin"/>
      </w:r>
      <w:r>
        <w:rPr>
          <w:sz w:val="18"/>
          <w:szCs w:val="18"/>
        </w:rPr>
        <w:instrText xml:space="preserve"> HYPERLINK \l _Toc2103 </w:instrText>
      </w:r>
      <w:r>
        <w:rPr>
          <w:sz w:val="18"/>
          <w:szCs w:val="18"/>
        </w:rPr>
        <w:fldChar w:fldCharType="separate"/>
      </w:r>
      <w:r>
        <w:rPr>
          <w:rFonts w:ascii="黑体" w:hAnsi="黑体" w:eastAsia="黑体"/>
          <w:sz w:val="18"/>
          <w:szCs w:val="18"/>
        </w:rPr>
        <w:t>8.4 改进空间总结</w:t>
      </w:r>
      <w:r>
        <w:rPr>
          <w:sz w:val="18"/>
          <w:szCs w:val="18"/>
        </w:rPr>
        <w:tab/>
      </w:r>
      <w:r>
        <w:rPr>
          <w:sz w:val="18"/>
          <w:szCs w:val="18"/>
        </w:rPr>
        <w:fldChar w:fldCharType="begin"/>
      </w:r>
      <w:r>
        <w:rPr>
          <w:sz w:val="18"/>
          <w:szCs w:val="18"/>
        </w:rPr>
        <w:instrText xml:space="preserve"> PAGEREF _Toc2103 \h </w:instrText>
      </w:r>
      <w:r>
        <w:rPr>
          <w:sz w:val="18"/>
          <w:szCs w:val="18"/>
        </w:rPr>
        <w:fldChar w:fldCharType="separate"/>
      </w:r>
      <w:r>
        <w:rPr>
          <w:sz w:val="18"/>
          <w:szCs w:val="18"/>
        </w:rPr>
        <w:t>28</w:t>
      </w:r>
      <w:r>
        <w:rPr>
          <w:sz w:val="18"/>
          <w:szCs w:val="18"/>
        </w:rPr>
        <w:fldChar w:fldCharType="end"/>
      </w:r>
      <w:r>
        <w:rPr>
          <w:sz w:val="18"/>
          <w:szCs w:val="18"/>
        </w:rPr>
        <w:fldChar w:fldCharType="end"/>
      </w:r>
    </w:p>
    <w:p w14:paraId="3039D30B">
      <w:pPr>
        <w:pStyle w:val="29"/>
        <w:tabs>
          <w:tab w:val="right" w:leader="dot" w:pos="8634"/>
        </w:tabs>
        <w:rPr>
          <w:sz w:val="18"/>
          <w:szCs w:val="18"/>
        </w:rPr>
      </w:pPr>
      <w:r>
        <w:rPr>
          <w:sz w:val="18"/>
          <w:szCs w:val="18"/>
        </w:rPr>
        <w:fldChar w:fldCharType="begin"/>
      </w:r>
      <w:r>
        <w:rPr>
          <w:sz w:val="18"/>
          <w:szCs w:val="18"/>
        </w:rPr>
        <w:instrText xml:space="preserve"> HYPERLINK \l _Toc28387 </w:instrText>
      </w:r>
      <w:r>
        <w:rPr>
          <w:sz w:val="18"/>
          <w:szCs w:val="18"/>
        </w:rPr>
        <w:fldChar w:fldCharType="separate"/>
      </w:r>
      <w:r>
        <w:rPr>
          <w:rFonts w:ascii="黑体" w:hAnsi="黑体" w:eastAsia="黑体"/>
          <w:sz w:val="18"/>
          <w:szCs w:val="18"/>
        </w:rPr>
        <w:t>8.5 个人收获</w:t>
      </w:r>
      <w:r>
        <w:rPr>
          <w:sz w:val="18"/>
          <w:szCs w:val="18"/>
        </w:rPr>
        <w:tab/>
      </w:r>
      <w:r>
        <w:rPr>
          <w:sz w:val="18"/>
          <w:szCs w:val="18"/>
        </w:rPr>
        <w:fldChar w:fldCharType="begin"/>
      </w:r>
      <w:r>
        <w:rPr>
          <w:sz w:val="18"/>
          <w:szCs w:val="18"/>
        </w:rPr>
        <w:instrText xml:space="preserve"> PAGEREF _Toc28387 \h </w:instrText>
      </w:r>
      <w:r>
        <w:rPr>
          <w:sz w:val="18"/>
          <w:szCs w:val="18"/>
        </w:rPr>
        <w:fldChar w:fldCharType="separate"/>
      </w:r>
      <w:r>
        <w:rPr>
          <w:sz w:val="18"/>
          <w:szCs w:val="18"/>
        </w:rPr>
        <w:t>28</w:t>
      </w:r>
      <w:r>
        <w:rPr>
          <w:sz w:val="18"/>
          <w:szCs w:val="18"/>
        </w:rPr>
        <w:fldChar w:fldCharType="end"/>
      </w:r>
      <w:r>
        <w:rPr>
          <w:sz w:val="18"/>
          <w:szCs w:val="18"/>
        </w:rPr>
        <w:fldChar w:fldCharType="end"/>
      </w:r>
    </w:p>
    <w:p w14:paraId="2F819275">
      <w:pPr>
        <w:pStyle w:val="26"/>
        <w:tabs>
          <w:tab w:val="right" w:leader="dot" w:pos="8634"/>
        </w:tabs>
        <w:rPr>
          <w:sz w:val="18"/>
          <w:szCs w:val="18"/>
        </w:rPr>
      </w:pPr>
      <w:r>
        <w:rPr>
          <w:sz w:val="18"/>
          <w:szCs w:val="18"/>
        </w:rPr>
        <w:fldChar w:fldCharType="begin"/>
      </w:r>
      <w:r>
        <w:rPr>
          <w:sz w:val="18"/>
          <w:szCs w:val="18"/>
        </w:rPr>
        <w:instrText xml:space="preserve"> HYPERLINK \l _Toc30112 </w:instrText>
      </w:r>
      <w:r>
        <w:rPr>
          <w:sz w:val="18"/>
          <w:szCs w:val="18"/>
        </w:rPr>
        <w:fldChar w:fldCharType="separate"/>
      </w:r>
      <w:r>
        <w:rPr>
          <w:rFonts w:ascii="黑体" w:hAnsi="黑体" w:eastAsia="黑体"/>
          <w:sz w:val="18"/>
          <w:szCs w:val="18"/>
        </w:rPr>
        <w:t>附录</w:t>
      </w:r>
      <w:r>
        <w:rPr>
          <w:sz w:val="18"/>
          <w:szCs w:val="18"/>
        </w:rPr>
        <w:tab/>
      </w:r>
      <w:r>
        <w:rPr>
          <w:sz w:val="18"/>
          <w:szCs w:val="18"/>
        </w:rPr>
        <w:fldChar w:fldCharType="begin"/>
      </w:r>
      <w:r>
        <w:rPr>
          <w:sz w:val="18"/>
          <w:szCs w:val="18"/>
        </w:rPr>
        <w:instrText xml:space="preserve"> PAGEREF _Toc30112 \h </w:instrText>
      </w:r>
      <w:r>
        <w:rPr>
          <w:sz w:val="18"/>
          <w:szCs w:val="18"/>
        </w:rPr>
        <w:fldChar w:fldCharType="separate"/>
      </w:r>
      <w:r>
        <w:rPr>
          <w:sz w:val="18"/>
          <w:szCs w:val="18"/>
        </w:rPr>
        <w:t>29</w:t>
      </w:r>
      <w:r>
        <w:rPr>
          <w:sz w:val="18"/>
          <w:szCs w:val="18"/>
        </w:rPr>
        <w:fldChar w:fldCharType="end"/>
      </w:r>
      <w:r>
        <w:rPr>
          <w:sz w:val="18"/>
          <w:szCs w:val="18"/>
        </w:rPr>
        <w:fldChar w:fldCharType="end"/>
      </w:r>
    </w:p>
    <w:p w14:paraId="2D8F7C58">
      <w:pPr>
        <w:pStyle w:val="29"/>
        <w:tabs>
          <w:tab w:val="right" w:leader="dot" w:pos="8634"/>
        </w:tabs>
        <w:rPr>
          <w:sz w:val="18"/>
          <w:szCs w:val="18"/>
        </w:rPr>
      </w:pPr>
      <w:r>
        <w:rPr>
          <w:sz w:val="18"/>
          <w:szCs w:val="18"/>
        </w:rPr>
        <w:fldChar w:fldCharType="begin"/>
      </w:r>
      <w:r>
        <w:rPr>
          <w:sz w:val="18"/>
          <w:szCs w:val="18"/>
        </w:rPr>
        <w:instrText xml:space="preserve"> HYPERLINK \l _Toc13271 </w:instrText>
      </w:r>
      <w:r>
        <w:rPr>
          <w:sz w:val="18"/>
          <w:szCs w:val="18"/>
        </w:rPr>
        <w:fldChar w:fldCharType="separate"/>
      </w:r>
      <w:r>
        <w:rPr>
          <w:rFonts w:ascii="黑体" w:hAnsi="黑体" w:eastAsia="黑体"/>
          <w:sz w:val="18"/>
          <w:szCs w:val="18"/>
        </w:rPr>
        <w:t>附录A：主要财务数据表</w:t>
      </w:r>
      <w:r>
        <w:rPr>
          <w:sz w:val="18"/>
          <w:szCs w:val="18"/>
        </w:rPr>
        <w:tab/>
      </w:r>
      <w:r>
        <w:rPr>
          <w:sz w:val="18"/>
          <w:szCs w:val="18"/>
        </w:rPr>
        <w:fldChar w:fldCharType="begin"/>
      </w:r>
      <w:r>
        <w:rPr>
          <w:sz w:val="18"/>
          <w:szCs w:val="18"/>
        </w:rPr>
        <w:instrText xml:space="preserve"> PAGEREF _Toc13271 \h </w:instrText>
      </w:r>
      <w:r>
        <w:rPr>
          <w:sz w:val="18"/>
          <w:szCs w:val="18"/>
        </w:rPr>
        <w:fldChar w:fldCharType="separate"/>
      </w:r>
      <w:r>
        <w:rPr>
          <w:sz w:val="18"/>
          <w:szCs w:val="18"/>
        </w:rPr>
        <w:t>29</w:t>
      </w:r>
      <w:r>
        <w:rPr>
          <w:sz w:val="18"/>
          <w:szCs w:val="18"/>
        </w:rPr>
        <w:fldChar w:fldCharType="end"/>
      </w:r>
      <w:r>
        <w:rPr>
          <w:sz w:val="18"/>
          <w:szCs w:val="18"/>
        </w:rPr>
        <w:fldChar w:fldCharType="end"/>
      </w:r>
    </w:p>
    <w:p w14:paraId="754F66E0">
      <w:pPr>
        <w:pStyle w:val="29"/>
        <w:tabs>
          <w:tab w:val="right" w:leader="dot" w:pos="8634"/>
        </w:tabs>
        <w:rPr>
          <w:sz w:val="18"/>
          <w:szCs w:val="18"/>
        </w:rPr>
      </w:pPr>
      <w:r>
        <w:rPr>
          <w:sz w:val="18"/>
          <w:szCs w:val="18"/>
        </w:rPr>
        <w:fldChar w:fldCharType="begin"/>
      </w:r>
      <w:r>
        <w:rPr>
          <w:sz w:val="18"/>
          <w:szCs w:val="18"/>
        </w:rPr>
        <w:instrText xml:space="preserve"> HYPERLINK \l _Toc14811 </w:instrText>
      </w:r>
      <w:r>
        <w:rPr>
          <w:sz w:val="18"/>
          <w:szCs w:val="18"/>
        </w:rPr>
        <w:fldChar w:fldCharType="separate"/>
      </w:r>
      <w:r>
        <w:rPr>
          <w:rFonts w:ascii="黑体" w:hAnsi="黑体" w:eastAsia="黑体"/>
          <w:sz w:val="18"/>
          <w:szCs w:val="18"/>
        </w:rPr>
        <w:t>附录B：重大风险清单汇总表</w:t>
      </w:r>
      <w:r>
        <w:rPr>
          <w:sz w:val="18"/>
          <w:szCs w:val="18"/>
        </w:rPr>
        <w:tab/>
      </w:r>
      <w:r>
        <w:rPr>
          <w:sz w:val="18"/>
          <w:szCs w:val="18"/>
        </w:rPr>
        <w:fldChar w:fldCharType="begin"/>
      </w:r>
      <w:r>
        <w:rPr>
          <w:sz w:val="18"/>
          <w:szCs w:val="18"/>
        </w:rPr>
        <w:instrText xml:space="preserve"> PAGEREF _Toc14811 \h </w:instrText>
      </w:r>
      <w:r>
        <w:rPr>
          <w:sz w:val="18"/>
          <w:szCs w:val="18"/>
        </w:rPr>
        <w:fldChar w:fldCharType="separate"/>
      </w:r>
      <w:r>
        <w:rPr>
          <w:sz w:val="18"/>
          <w:szCs w:val="18"/>
        </w:rPr>
        <w:t>29</w:t>
      </w:r>
      <w:r>
        <w:rPr>
          <w:sz w:val="18"/>
          <w:szCs w:val="18"/>
        </w:rPr>
        <w:fldChar w:fldCharType="end"/>
      </w:r>
      <w:r>
        <w:rPr>
          <w:sz w:val="18"/>
          <w:szCs w:val="18"/>
        </w:rPr>
        <w:fldChar w:fldCharType="end"/>
      </w:r>
    </w:p>
    <w:p w14:paraId="177512B3">
      <w:pPr>
        <w:pStyle w:val="29"/>
        <w:tabs>
          <w:tab w:val="right" w:leader="dot" w:pos="8634"/>
        </w:tabs>
      </w:pPr>
      <w:r>
        <w:rPr>
          <w:sz w:val="18"/>
          <w:szCs w:val="18"/>
        </w:rPr>
        <w:fldChar w:fldCharType="begin"/>
      </w:r>
      <w:r>
        <w:rPr>
          <w:sz w:val="18"/>
          <w:szCs w:val="18"/>
        </w:rPr>
        <w:instrText xml:space="preserve"> HYPERLINK \l _Toc32261 </w:instrText>
      </w:r>
      <w:r>
        <w:rPr>
          <w:sz w:val="18"/>
          <w:szCs w:val="18"/>
        </w:rPr>
        <w:fldChar w:fldCharType="separate"/>
      </w:r>
      <w:r>
        <w:rPr>
          <w:rFonts w:ascii="黑体" w:hAnsi="黑体" w:eastAsia="黑体"/>
          <w:sz w:val="18"/>
          <w:szCs w:val="18"/>
        </w:rPr>
        <w:t>附录C：参考文献</w:t>
      </w:r>
      <w:r>
        <w:rPr>
          <w:sz w:val="18"/>
          <w:szCs w:val="18"/>
        </w:rPr>
        <w:tab/>
      </w:r>
      <w:r>
        <w:rPr>
          <w:sz w:val="18"/>
          <w:szCs w:val="18"/>
        </w:rPr>
        <w:fldChar w:fldCharType="begin"/>
      </w:r>
      <w:r>
        <w:rPr>
          <w:sz w:val="18"/>
          <w:szCs w:val="18"/>
        </w:rPr>
        <w:instrText xml:space="preserve"> PAGEREF _Toc32261 \h </w:instrText>
      </w:r>
      <w:r>
        <w:rPr>
          <w:sz w:val="18"/>
          <w:szCs w:val="18"/>
        </w:rPr>
        <w:fldChar w:fldCharType="separate"/>
      </w:r>
      <w:r>
        <w:rPr>
          <w:sz w:val="18"/>
          <w:szCs w:val="18"/>
        </w:rPr>
        <w:t>30</w:t>
      </w:r>
      <w:r>
        <w:rPr>
          <w:sz w:val="18"/>
          <w:szCs w:val="18"/>
        </w:rPr>
        <w:fldChar w:fldCharType="end"/>
      </w:r>
      <w:r>
        <w:rPr>
          <w:sz w:val="18"/>
          <w:szCs w:val="18"/>
        </w:rPr>
        <w:fldChar w:fldCharType="end"/>
      </w:r>
    </w:p>
    <w:p w14:paraId="701E7C5E">
      <w:r>
        <w:fldChar w:fldCharType="end"/>
      </w:r>
    </w:p>
    <w:p w14:paraId="6C517B9B">
      <w:pPr>
        <w:rPr>
          <w:rFonts w:ascii="黑体" w:hAnsi="黑体" w:eastAsia="黑体" w:cstheme="majorBidi"/>
          <w:b/>
          <w:bCs/>
          <w:color w:val="376092" w:themeColor="accent1" w:themeShade="BF"/>
          <w:sz w:val="32"/>
          <w:szCs w:val="28"/>
          <w:lang w:val="en-US" w:eastAsia="en-US" w:bidi="ar-SA"/>
        </w:rPr>
      </w:pPr>
      <w:bookmarkStart w:id="0" w:name="_Toc11158"/>
      <w:r>
        <w:rPr>
          <w:rFonts w:ascii="黑体" w:hAnsi="黑体" w:eastAsia="黑体" w:cstheme="majorBidi"/>
          <w:b/>
          <w:bCs/>
          <w:color w:val="376092" w:themeColor="accent1" w:themeShade="BF"/>
          <w:sz w:val="32"/>
          <w:szCs w:val="28"/>
          <w:lang w:val="en-US" w:eastAsia="en-US" w:bidi="ar-SA"/>
        </w:rPr>
        <w:t>摘要</w:t>
      </w:r>
      <w:bookmarkEnd w:id="0"/>
    </w:p>
    <w:p w14:paraId="3D711F4C">
      <w:pPr>
        <w:spacing w:line="360" w:lineRule="auto"/>
      </w:pPr>
      <w:r>
        <w:rPr>
          <w:rFonts w:ascii="宋体" w:hAnsi="宋体" w:eastAsia="宋体"/>
          <w:b w:val="0"/>
          <w:sz w:val="24"/>
        </w:rPr>
        <w:t>腾讯控股有限公司（0700.HK）是中国领先的互联网科技企业，业务覆盖社交平台（微信、QQ）、网络游戏、数字内容、金融科技、云计算及人工智能等领域。2024年全年营收6,602.57亿元人民币，同比增长8%，Non-IFRS净利润2,227.03亿元，同比增长41%，微信及WeChat合并月活跃用户达13.85亿。腾讯采用国际通行的"三线模型"风险管理架构，在董事会审核委员会监督下建立了覆盖全公司的风险管理与内部监控体系，并于2024年首次将AI技术深度嵌入风控与内控流程。</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本报告基于COSO ERM 2017框架，结合ISO 31000标准，系统识别并评估了腾讯面临的六大重大风险：（1）监管与政策不确定性风险，主要涉及游戏行业监管、平台经济反垄断及算法治理等；（2）行业竞争加剧风险，字节跳动在用户时长和AI应用层面已形成实质性挑战；（3）地缘政治与制裁风险，2025年1月腾讯被美国国防部列入CMC清单，存在升级为投资禁令的潜在威胁；（4）AI战略转型风险，资本投入相较于字节跳动和阿里巴巴偏保守，AI原生应用尚未出现杀手级产品；（5）游戏业务集中度风险，核心产品《王者荣耀》《和平精英》面临生命周期管理和舆论压力；（6）数据安全与隐私合规风险，在算法透明和用户隐私保护之间面临持续的合规挑战。</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针对上述风险，本报告提出了系统的应对策略，包括加强政策沟通与合规前瞻性建设、加大AI基础设施投入、多元化海外市场布局、完善算法治理机制等。总体而言，腾讯的风险管理体系健全有效，但在AI时代的战略转型速度和地缘政治风险的应对预案方面仍有改进空间。</w:t>
      </w:r>
    </w:p>
    <w:p w14:paraId="28A43D2E">
      <w:pPr>
        <w:spacing w:line="360" w:lineRule="auto"/>
      </w:pPr>
      <w:r>
        <w:rPr>
          <w:rFonts w:ascii="宋体" w:hAnsi="宋体" w:eastAsia="宋体"/>
          <w:b/>
          <w:sz w:val="24"/>
        </w:rPr>
        <w:t>关键词：腾讯；全面风险管理；COSO ERM；风险矩阵；互联网科技企业；三线模型</w:t>
      </w:r>
    </w:p>
    <w:p w14:paraId="4BFD6E16">
      <w:pPr>
        <w:pStyle w:val="3"/>
      </w:pPr>
      <w:bookmarkStart w:id="1" w:name="_Toc29327"/>
      <w:r>
        <w:rPr>
          <w:rFonts w:ascii="黑体" w:hAnsi="黑体" w:eastAsia="黑体"/>
          <w:sz w:val="32"/>
        </w:rPr>
        <w:t>1. 公司简介</w:t>
      </w:r>
      <w:bookmarkEnd w:id="1"/>
    </w:p>
    <w:p w14:paraId="75CB8E53">
      <w:pPr>
        <w:pStyle w:val="4"/>
      </w:pPr>
      <w:bookmarkStart w:id="2" w:name="_Toc21368"/>
      <w:r>
        <w:rPr>
          <w:rFonts w:ascii="黑体" w:hAnsi="黑体" w:eastAsia="黑体"/>
          <w:sz w:val="28"/>
        </w:rPr>
        <w:t>1.1 基本情况</w:t>
      </w:r>
      <w:bookmarkEnd w:id="2"/>
    </w:p>
    <w:p w14:paraId="1CC3A16D">
      <w:pPr>
        <w:spacing w:line="360" w:lineRule="auto"/>
        <w:ind w:firstLine="420"/>
      </w:pPr>
      <w:r>
        <w:rPr>
          <w:rFonts w:ascii="宋体" w:hAnsi="宋体" w:eastAsia="宋体"/>
          <w:b w:val="0"/>
          <w:sz w:val="24"/>
        </w:rPr>
        <w:t>腾讯控股有限公司（Tencent Holdings Limited）成立于1998年11月，总部位于中国深圳，2004年6月在香港联合交易所主板上市（股票代码：0700.HK）。腾讯是全球最大的互联网科技公司之一，以"用户为本，科技向善"为使命，致力于通过技术创新丰富用户的通信和娱乐生活。截至2024年12月31日，腾讯拥有员工110,558人，业务遍及全球多个国家和地区。</w:t>
      </w:r>
    </w:p>
    <w:p w14:paraId="017727F4">
      <w:pPr>
        <w:pStyle w:val="4"/>
      </w:pPr>
      <w:bookmarkStart w:id="3" w:name="_Toc2348"/>
      <w:r>
        <w:rPr>
          <w:rFonts w:ascii="黑体" w:hAnsi="黑体" w:eastAsia="黑体"/>
          <w:sz w:val="28"/>
        </w:rPr>
        <w:t>1.2 股权结构</w:t>
      </w:r>
      <w:bookmarkEnd w:id="3"/>
    </w:p>
    <w:p w14:paraId="4E3643CC">
      <w:pPr>
        <w:spacing w:line="360" w:lineRule="auto"/>
        <w:ind w:firstLine="420"/>
      </w:pPr>
      <w:r>
        <w:rPr>
          <w:rFonts w:ascii="宋体" w:hAnsi="宋体" w:eastAsia="宋体"/>
          <w:b w:val="0"/>
          <w:sz w:val="24"/>
        </w:rPr>
        <w:t>截至2024年12月31日（年报披露），腾讯股权结构呈现"大股东减持、创始人稳定、公众持股分散"的特征：第一大股东为南非Prosus（Naspers集团旗下），通过MIH持有24.01%股权（约22.15亿股）；创始人马化腾通过Advance Data Services持有8.72%股权（约8.05亿股），为第二大股东；其余约67%的股权由公众股东持有，其中先锋领航（Vanguard）持股约2.6%，贝莱德（BlackRock）持股约2.2%。自2021年起Prosus实施渐进式减持计划，叠加腾讯大规模回购（2024年回购总值约1,120亿港元），马化腾实际控制权保持稳定。腾讯采用不同投票权架构（WVR），创始人对公司战略有重大影响力。</w:t>
      </w:r>
    </w:p>
    <w:p w14:paraId="32867402">
      <w:pPr>
        <w:spacing w:line="360" w:lineRule="auto"/>
      </w:pPr>
      <w:r>
        <w:rPr>
          <w:rFonts w:ascii="宋体" w:hAnsi="宋体" w:eastAsia="宋体"/>
          <w:b/>
          <w:sz w:val="24"/>
        </w:rPr>
        <w:t>表1-1：腾讯主要股东持股情况（2024年12月31日）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AE4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E2F3"/>
          </w:tcPr>
          <w:p w14:paraId="1CA34E4D">
            <w:pPr>
              <w:spacing w:after="0"/>
              <w:jc w:val="center"/>
            </w:pPr>
            <w:r>
              <w:rPr>
                <w:rFonts w:ascii="宋体" w:hAnsi="宋体" w:eastAsia="宋体"/>
                <w:b/>
                <w:sz w:val="20"/>
              </w:rPr>
              <w:t>股东名称</w:t>
            </w:r>
          </w:p>
        </w:tc>
        <w:tc>
          <w:tcPr>
            <w:tcW w:w="2158" w:type="dxa"/>
            <w:shd w:val="clear" w:color="auto" w:fill="D9E2F3"/>
          </w:tcPr>
          <w:p w14:paraId="6AAA0054">
            <w:pPr>
              <w:spacing w:after="0"/>
              <w:jc w:val="center"/>
            </w:pPr>
            <w:r>
              <w:rPr>
                <w:rFonts w:ascii="宋体" w:hAnsi="宋体" w:eastAsia="宋体"/>
                <w:b/>
                <w:sz w:val="20"/>
              </w:rPr>
              <w:t>持股数量（亿股）</w:t>
            </w:r>
          </w:p>
        </w:tc>
        <w:tc>
          <w:tcPr>
            <w:tcW w:w="2158" w:type="dxa"/>
            <w:shd w:val="clear" w:color="auto" w:fill="D9E2F3"/>
          </w:tcPr>
          <w:p w14:paraId="49222C07">
            <w:pPr>
              <w:spacing w:after="0"/>
              <w:jc w:val="center"/>
            </w:pPr>
            <w:r>
              <w:rPr>
                <w:rFonts w:ascii="宋体" w:hAnsi="宋体" w:eastAsia="宋体"/>
                <w:b/>
                <w:sz w:val="20"/>
              </w:rPr>
              <w:t>持股比例</w:t>
            </w:r>
          </w:p>
        </w:tc>
        <w:tc>
          <w:tcPr>
            <w:tcW w:w="2158" w:type="dxa"/>
            <w:shd w:val="clear" w:color="auto" w:fill="D9E2F3"/>
          </w:tcPr>
          <w:p w14:paraId="51176BC2">
            <w:pPr>
              <w:spacing w:after="0"/>
              <w:jc w:val="center"/>
            </w:pPr>
            <w:r>
              <w:rPr>
                <w:rFonts w:ascii="宋体" w:hAnsi="宋体" w:eastAsia="宋体"/>
                <w:b/>
                <w:sz w:val="20"/>
              </w:rPr>
              <w:t>股东性质</w:t>
            </w:r>
          </w:p>
        </w:tc>
      </w:tr>
      <w:tr w14:paraId="5FE0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AC6F058">
            <w:pPr>
              <w:spacing w:after="0"/>
              <w:jc w:val="center"/>
            </w:pPr>
            <w:r>
              <w:rPr>
                <w:rFonts w:ascii="宋体" w:hAnsi="宋体" w:eastAsia="宋体"/>
                <w:sz w:val="20"/>
              </w:rPr>
              <w:t>Prosus（MIH）</w:t>
            </w:r>
          </w:p>
        </w:tc>
        <w:tc>
          <w:tcPr>
            <w:tcW w:w="2158" w:type="dxa"/>
          </w:tcPr>
          <w:p w14:paraId="140B6E74">
            <w:pPr>
              <w:spacing w:after="0"/>
              <w:jc w:val="center"/>
            </w:pPr>
            <w:r>
              <w:rPr>
                <w:rFonts w:ascii="宋体" w:hAnsi="宋体" w:eastAsia="宋体"/>
                <w:sz w:val="20"/>
              </w:rPr>
              <w:t>22.15</w:t>
            </w:r>
          </w:p>
        </w:tc>
        <w:tc>
          <w:tcPr>
            <w:tcW w:w="2158" w:type="dxa"/>
          </w:tcPr>
          <w:p w14:paraId="1A38CADF">
            <w:pPr>
              <w:spacing w:after="0"/>
              <w:jc w:val="center"/>
            </w:pPr>
            <w:r>
              <w:rPr>
                <w:rFonts w:ascii="宋体" w:hAnsi="宋体" w:eastAsia="宋体"/>
                <w:sz w:val="20"/>
              </w:rPr>
              <w:t>24.01%</w:t>
            </w:r>
          </w:p>
        </w:tc>
        <w:tc>
          <w:tcPr>
            <w:tcW w:w="2158" w:type="dxa"/>
          </w:tcPr>
          <w:p w14:paraId="21F48CBE">
            <w:pPr>
              <w:spacing w:after="0"/>
              <w:jc w:val="center"/>
            </w:pPr>
            <w:r>
              <w:rPr>
                <w:rFonts w:ascii="宋体" w:hAnsi="宋体" w:eastAsia="宋体"/>
                <w:sz w:val="20"/>
              </w:rPr>
              <w:t>战略投资者（外资）</w:t>
            </w:r>
          </w:p>
        </w:tc>
      </w:tr>
      <w:tr w14:paraId="365D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2CC7EC97">
            <w:pPr>
              <w:spacing w:after="0"/>
              <w:jc w:val="center"/>
            </w:pPr>
            <w:r>
              <w:rPr>
                <w:rFonts w:ascii="宋体" w:hAnsi="宋体" w:eastAsia="宋体"/>
                <w:sz w:val="20"/>
              </w:rPr>
              <w:t>马化腾（Advance Data Services）</w:t>
            </w:r>
          </w:p>
        </w:tc>
        <w:tc>
          <w:tcPr>
            <w:tcW w:w="2158" w:type="dxa"/>
          </w:tcPr>
          <w:p w14:paraId="34ED9B53">
            <w:pPr>
              <w:spacing w:after="0"/>
              <w:jc w:val="center"/>
            </w:pPr>
            <w:r>
              <w:rPr>
                <w:rFonts w:ascii="宋体" w:hAnsi="宋体" w:eastAsia="宋体"/>
                <w:sz w:val="20"/>
              </w:rPr>
              <w:t>8.05</w:t>
            </w:r>
          </w:p>
        </w:tc>
        <w:tc>
          <w:tcPr>
            <w:tcW w:w="2158" w:type="dxa"/>
          </w:tcPr>
          <w:p w14:paraId="47A20C6D">
            <w:pPr>
              <w:spacing w:after="0"/>
              <w:jc w:val="center"/>
            </w:pPr>
            <w:r>
              <w:rPr>
                <w:rFonts w:ascii="宋体" w:hAnsi="宋体" w:eastAsia="宋体"/>
                <w:sz w:val="20"/>
              </w:rPr>
              <w:t>8.72%</w:t>
            </w:r>
          </w:p>
        </w:tc>
        <w:tc>
          <w:tcPr>
            <w:tcW w:w="2158" w:type="dxa"/>
          </w:tcPr>
          <w:p w14:paraId="2F7BB950">
            <w:pPr>
              <w:spacing w:after="0"/>
              <w:jc w:val="center"/>
            </w:pPr>
            <w:r>
              <w:rPr>
                <w:rFonts w:ascii="宋体" w:hAnsi="宋体" w:eastAsia="宋体"/>
                <w:sz w:val="20"/>
              </w:rPr>
              <w:t>创始人</w:t>
            </w:r>
          </w:p>
        </w:tc>
      </w:tr>
      <w:tr w14:paraId="33193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7128AB6">
            <w:pPr>
              <w:spacing w:after="0"/>
              <w:jc w:val="center"/>
            </w:pPr>
            <w:r>
              <w:rPr>
                <w:rFonts w:ascii="宋体" w:hAnsi="宋体" w:eastAsia="宋体"/>
                <w:sz w:val="20"/>
              </w:rPr>
              <w:t>先锋领航（Vanguard）</w:t>
            </w:r>
          </w:p>
        </w:tc>
        <w:tc>
          <w:tcPr>
            <w:tcW w:w="2158" w:type="dxa"/>
          </w:tcPr>
          <w:p w14:paraId="425E8816">
            <w:pPr>
              <w:spacing w:after="0"/>
              <w:jc w:val="center"/>
            </w:pPr>
            <w:r>
              <w:rPr>
                <w:rFonts w:ascii="宋体" w:hAnsi="宋体" w:eastAsia="宋体"/>
                <w:sz w:val="20"/>
              </w:rPr>
              <w:t>~2.4</w:t>
            </w:r>
          </w:p>
        </w:tc>
        <w:tc>
          <w:tcPr>
            <w:tcW w:w="2158" w:type="dxa"/>
          </w:tcPr>
          <w:p w14:paraId="4E390EBF">
            <w:pPr>
              <w:spacing w:after="0"/>
              <w:jc w:val="center"/>
            </w:pPr>
            <w:r>
              <w:rPr>
                <w:rFonts w:ascii="宋体" w:hAnsi="宋体" w:eastAsia="宋体"/>
                <w:sz w:val="20"/>
              </w:rPr>
              <w:t>~2.6%</w:t>
            </w:r>
          </w:p>
        </w:tc>
        <w:tc>
          <w:tcPr>
            <w:tcW w:w="2158" w:type="dxa"/>
          </w:tcPr>
          <w:p w14:paraId="541192B3">
            <w:pPr>
              <w:spacing w:after="0"/>
              <w:jc w:val="center"/>
            </w:pPr>
            <w:r>
              <w:rPr>
                <w:rFonts w:ascii="宋体" w:hAnsi="宋体" w:eastAsia="宋体"/>
                <w:sz w:val="20"/>
              </w:rPr>
              <w:t>机构投资者（美资）</w:t>
            </w:r>
          </w:p>
        </w:tc>
      </w:tr>
      <w:tr w14:paraId="2DC9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412D5204">
            <w:pPr>
              <w:spacing w:after="0"/>
              <w:jc w:val="center"/>
            </w:pPr>
            <w:r>
              <w:rPr>
                <w:rFonts w:ascii="宋体" w:hAnsi="宋体" w:eastAsia="宋体"/>
                <w:sz w:val="20"/>
              </w:rPr>
              <w:t>贝莱德（BlackRock）</w:t>
            </w:r>
          </w:p>
        </w:tc>
        <w:tc>
          <w:tcPr>
            <w:tcW w:w="2158" w:type="dxa"/>
          </w:tcPr>
          <w:p w14:paraId="090F38B8">
            <w:pPr>
              <w:spacing w:after="0"/>
              <w:jc w:val="center"/>
            </w:pPr>
            <w:r>
              <w:rPr>
                <w:rFonts w:ascii="宋体" w:hAnsi="宋体" w:eastAsia="宋体"/>
                <w:sz w:val="20"/>
              </w:rPr>
              <w:t>~2.0</w:t>
            </w:r>
          </w:p>
        </w:tc>
        <w:tc>
          <w:tcPr>
            <w:tcW w:w="2158" w:type="dxa"/>
          </w:tcPr>
          <w:p w14:paraId="11585973">
            <w:pPr>
              <w:spacing w:after="0"/>
              <w:jc w:val="center"/>
            </w:pPr>
            <w:r>
              <w:rPr>
                <w:rFonts w:ascii="宋体" w:hAnsi="宋体" w:eastAsia="宋体"/>
                <w:sz w:val="20"/>
              </w:rPr>
              <w:t>~2.2%</w:t>
            </w:r>
          </w:p>
        </w:tc>
        <w:tc>
          <w:tcPr>
            <w:tcW w:w="2158" w:type="dxa"/>
          </w:tcPr>
          <w:p w14:paraId="7E5FA22A">
            <w:pPr>
              <w:spacing w:after="0"/>
              <w:jc w:val="center"/>
            </w:pPr>
            <w:r>
              <w:rPr>
                <w:rFonts w:ascii="宋体" w:hAnsi="宋体" w:eastAsia="宋体"/>
                <w:sz w:val="20"/>
              </w:rPr>
              <w:t>机构投资者（美资）</w:t>
            </w:r>
          </w:p>
        </w:tc>
      </w:tr>
      <w:tr w14:paraId="62F4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3D2D45DF">
            <w:pPr>
              <w:spacing w:after="0"/>
              <w:jc w:val="center"/>
            </w:pPr>
            <w:r>
              <w:rPr>
                <w:rFonts w:ascii="宋体" w:hAnsi="宋体" w:eastAsia="宋体"/>
                <w:sz w:val="20"/>
              </w:rPr>
              <w:t>其他公众股东</w:t>
            </w:r>
          </w:p>
        </w:tc>
        <w:tc>
          <w:tcPr>
            <w:tcW w:w="2158" w:type="dxa"/>
          </w:tcPr>
          <w:p w14:paraId="1A83948A">
            <w:pPr>
              <w:spacing w:after="0"/>
              <w:jc w:val="center"/>
            </w:pPr>
            <w:r>
              <w:rPr>
                <w:rFonts w:ascii="宋体" w:hAnsi="宋体" w:eastAsia="宋体"/>
                <w:sz w:val="20"/>
              </w:rPr>
              <w:t>~57.7</w:t>
            </w:r>
          </w:p>
        </w:tc>
        <w:tc>
          <w:tcPr>
            <w:tcW w:w="2158" w:type="dxa"/>
          </w:tcPr>
          <w:p w14:paraId="196EF9EA">
            <w:pPr>
              <w:spacing w:after="0"/>
              <w:jc w:val="center"/>
            </w:pPr>
            <w:r>
              <w:rPr>
                <w:rFonts w:ascii="宋体" w:hAnsi="宋体" w:eastAsia="宋体"/>
                <w:sz w:val="20"/>
              </w:rPr>
              <w:t>~62.5%</w:t>
            </w:r>
          </w:p>
        </w:tc>
        <w:tc>
          <w:tcPr>
            <w:tcW w:w="2158" w:type="dxa"/>
          </w:tcPr>
          <w:p w14:paraId="48844B73">
            <w:pPr>
              <w:spacing w:after="0"/>
              <w:jc w:val="center"/>
            </w:pPr>
            <w:r>
              <w:rPr>
                <w:rFonts w:ascii="宋体" w:hAnsi="宋体" w:eastAsia="宋体"/>
                <w:sz w:val="20"/>
              </w:rPr>
              <w:t>公众持股</w:t>
            </w:r>
          </w:p>
        </w:tc>
      </w:tr>
    </w:tbl>
    <w:p w14:paraId="50D5779D"/>
    <w:p w14:paraId="63921263">
      <w:pPr>
        <w:pStyle w:val="4"/>
      </w:pPr>
      <w:bookmarkStart w:id="4" w:name="_Toc12531"/>
      <w:r>
        <w:rPr>
          <w:rFonts w:ascii="黑体" w:hAnsi="黑体" w:eastAsia="黑体"/>
          <w:sz w:val="28"/>
        </w:rPr>
        <w:t>1.3 历史沿革</w:t>
      </w:r>
      <w:bookmarkEnd w:id="4"/>
    </w:p>
    <w:p w14:paraId="24507D61">
      <w:pPr>
        <w:spacing w:line="360" w:lineRule="auto"/>
        <w:ind w:firstLine="420"/>
      </w:pPr>
      <w:r>
        <w:rPr>
          <w:rFonts w:ascii="宋体" w:hAnsi="宋体" w:eastAsia="宋体"/>
          <w:b w:val="0"/>
          <w:sz w:val="24"/>
        </w:rPr>
        <w:t>腾讯的发展历程可划分为四个阶段：（1）创业起步期（1998-2004年），以即时通信工具QQ为核心，奠定了用户基础，2004年于香港上市；（2）平台扩张期（2005-2013年），推出微信（2011年），构建了社交+游戏的业务矩阵，成为中国互联网三巨头"BAT"之一；（3）生态构建期（2014-2020年），通过投资并购大力拓展业务生态，布局移动支付、云计算、数字内容等领域，提出"连接一切"战略；（4）科技转型期（2021年至今），面对监管环境变化和移动互联网红利见顶，启动降本增效，加大AI、云计算等硬科技投入，2024年资本开支同比增长221%至767.6亿元，标志着公司进入"AI驱动"的新发展阶段。</w:t>
      </w:r>
    </w:p>
    <w:p w14:paraId="0A51B836">
      <w:pPr>
        <w:pStyle w:val="4"/>
      </w:pPr>
      <w:bookmarkStart w:id="5" w:name="_Toc10340"/>
      <w:r>
        <w:rPr>
          <w:rFonts w:ascii="黑体" w:hAnsi="黑体" w:eastAsia="黑体"/>
          <w:sz w:val="28"/>
        </w:rPr>
        <w:t>1.4 组织架构</w:t>
      </w:r>
      <w:bookmarkEnd w:id="5"/>
    </w:p>
    <w:p w14:paraId="2DFC00D3">
      <w:pPr>
        <w:spacing w:line="360" w:lineRule="auto"/>
        <w:ind w:firstLine="420"/>
      </w:pPr>
      <w:r>
        <w:rPr>
          <w:rFonts w:ascii="宋体" w:hAnsi="宋体" w:eastAsia="宋体"/>
          <w:b w:val="0"/>
          <w:sz w:val="24"/>
        </w:rPr>
        <w:t>腾讯采用"控股公司+事业群（BG）制"的组织架构。总部层面，腾讯控股有限公司（开曼注册）为上市主体，通过VIE架构控制中国境内运营实体。运营层面分为六大事业群：微信事业群（WXG）、互动娱乐事业群（IEG）、内容与平台事业群（PCG）、云与智慧产业事业群（CSIG）、技术工程事业群（TEG）和企业发展事业群（CDG）。各事业群在战略框架内享有较高经营自主权，总部统筹财务、法务、人力等职能支持。2024-2025年间无重大组织架构重组，但AI相关团队显著扩容，2025年末重组大模型研发体系，新设AI Infra和AI Data部门。</w:t>
      </w:r>
    </w:p>
    <w:p w14:paraId="59608427">
      <w:pPr>
        <w:spacing w:line="360" w:lineRule="auto"/>
      </w:pPr>
      <w:r>
        <w:rPr>
          <w:rFonts w:ascii="宋体" w:hAnsi="宋体" w:eastAsia="宋体"/>
          <w:b/>
          <w:sz w:val="24"/>
        </w:rPr>
        <w:t>图1-1：腾讯组织架构简图</w:t>
      </w:r>
    </w:p>
    <w:p w14:paraId="2C513C35">
      <w:pPr>
        <w:spacing w:line="360" w:lineRule="auto"/>
      </w:pPr>
      <w:r>
        <w:rPr>
          <w:rFonts w:ascii="宋体" w:hAnsi="宋体" w:eastAsia="宋体"/>
          <w:b w:val="0"/>
          <w:sz w:val="24"/>
        </w:rPr>
        <w:t>┌─────────────────────────────────────────────────────┐</w:t>
      </w:r>
      <w:r>
        <w:rPr>
          <w:rFonts w:ascii="宋体" w:hAnsi="宋体" w:eastAsia="宋体"/>
          <w:b w:val="0"/>
          <w:sz w:val="24"/>
        </w:rPr>
        <w:br w:type="textWrapping"/>
      </w:r>
      <w:r>
        <w:rPr>
          <w:rFonts w:ascii="宋体" w:hAnsi="宋体" w:eastAsia="宋体"/>
          <w:b w:val="0"/>
          <w:sz w:val="24"/>
        </w:rPr>
        <w:t>│           腾讯控股有限公司（港交所：0700.HK）          │</w:t>
      </w:r>
      <w:r>
        <w:rPr>
          <w:rFonts w:ascii="宋体" w:hAnsi="宋体" w:eastAsia="宋体"/>
          <w:b w:val="0"/>
          <w:sz w:val="24"/>
        </w:rPr>
        <w:br w:type="textWrapping"/>
      </w:r>
      <w:r>
        <w:rPr>
          <w:rFonts w:ascii="宋体" w:hAnsi="宋体" w:eastAsia="宋体"/>
          <w:b w:val="0"/>
          <w:sz w:val="24"/>
        </w:rPr>
        <w:t>│  董事会 → 审核委员会 / 企管委员会 / 投资委员会等       │</w:t>
      </w:r>
      <w:r>
        <w:rPr>
          <w:rFonts w:ascii="宋体" w:hAnsi="宋体" w:eastAsia="宋体"/>
          <w:b w:val="0"/>
          <w:sz w:val="24"/>
        </w:rPr>
        <w:br w:type="textWrapping"/>
      </w:r>
      <w:r>
        <w:rPr>
          <w:rFonts w:ascii="宋体" w:hAnsi="宋体" w:eastAsia="宋体"/>
          <w:b w:val="0"/>
          <w:sz w:val="24"/>
        </w:rPr>
        <w:t>├──────┬──────┬──────┬──────┬──────┬────────────────┤</w:t>
      </w:r>
      <w:r>
        <w:rPr>
          <w:rFonts w:ascii="宋体" w:hAnsi="宋体" w:eastAsia="宋体"/>
          <w:b w:val="0"/>
          <w:sz w:val="24"/>
        </w:rPr>
        <w:br w:type="textWrapping"/>
      </w:r>
      <w:r>
        <w:rPr>
          <w:rFonts w:ascii="宋体" w:hAnsi="宋体" w:eastAsia="宋体"/>
          <w:b w:val="0"/>
          <w:sz w:val="24"/>
        </w:rPr>
        <w:t>│ WXG  │ IEG  │ PCG  │ CSIG │ TEG  │     CDG         │</w:t>
      </w:r>
      <w:r>
        <w:rPr>
          <w:rFonts w:ascii="宋体" w:hAnsi="宋体" w:eastAsia="宋体"/>
          <w:b w:val="0"/>
          <w:sz w:val="24"/>
        </w:rPr>
        <w:br w:type="textWrapping"/>
      </w:r>
      <w:r>
        <w:rPr>
          <w:rFonts w:ascii="宋体" w:hAnsi="宋体" w:eastAsia="宋体"/>
          <w:b w:val="0"/>
          <w:sz w:val="24"/>
        </w:rPr>
        <w:t>│微信  │游戏  │视频  │云服务│AI/安全│ 金融科技/广告    │</w:t>
      </w:r>
      <w:r>
        <w:rPr>
          <w:rFonts w:ascii="宋体" w:hAnsi="宋体" w:eastAsia="宋体"/>
          <w:b w:val="0"/>
          <w:sz w:val="24"/>
        </w:rPr>
        <w:br w:type="textWrapping"/>
      </w:r>
      <w:r>
        <w:rPr>
          <w:rFonts w:ascii="宋体" w:hAnsi="宋体" w:eastAsia="宋体"/>
          <w:b w:val="0"/>
          <w:sz w:val="24"/>
        </w:rPr>
        <w:t>│视频号│电竞  │新闻  │企微  │大数据│ 支付/商业化      │</w:t>
      </w:r>
      <w:r>
        <w:rPr>
          <w:rFonts w:ascii="宋体" w:hAnsi="宋体" w:eastAsia="宋体"/>
          <w:b w:val="0"/>
          <w:sz w:val="24"/>
        </w:rPr>
        <w:br w:type="textWrapping"/>
      </w:r>
      <w:r>
        <w:rPr>
          <w:rFonts w:ascii="宋体" w:hAnsi="宋体" w:eastAsia="宋体"/>
          <w:b w:val="0"/>
          <w:sz w:val="24"/>
        </w:rPr>
        <w:t>└──────┴──────┴──────┴──────┴──────┴────────────────┘</w:t>
      </w:r>
    </w:p>
    <w:p w14:paraId="68E9B8A4">
      <w:pPr>
        <w:pStyle w:val="4"/>
      </w:pPr>
      <w:bookmarkStart w:id="6" w:name="_Toc22898"/>
      <w:r>
        <w:rPr>
          <w:rFonts w:ascii="黑体" w:hAnsi="黑体" w:eastAsia="黑体"/>
          <w:sz w:val="28"/>
        </w:rPr>
        <w:t>1.5 行业地位</w:t>
      </w:r>
      <w:bookmarkEnd w:id="6"/>
    </w:p>
    <w:p w14:paraId="4FBF7869">
      <w:pPr>
        <w:spacing w:line="360" w:lineRule="auto"/>
        <w:ind w:firstLine="420"/>
      </w:pPr>
      <w:r>
        <w:rPr>
          <w:rFonts w:ascii="宋体" w:hAnsi="宋体" w:eastAsia="宋体"/>
          <w:b w:val="0"/>
          <w:sz w:val="24"/>
        </w:rPr>
        <w:t>腾讯是中国市值最大的互联网科技企业之一，截至2024年末市值约4.5万亿港元，位列港交所第一。旗下微信是中国最大的社交平台（月活13.85亿），腾讯游戏是全球最大的游戏公司（按收入计），腾讯云是中国第二朵实现规模化盈利的公有云。在2024年《财富》世界500强中位列第173位，MSCI ESG评级升至BBB级，标普全球CSA行业排名全球前三，入选道琼斯可持续发展指数（DJSI）。然而，在流量时长方面，字节跳动系在2025年用户时长占比（37.4%）首次超越腾讯系（30.0%），标志着行业竞争格局正在发生结构性变化。</w:t>
      </w:r>
    </w:p>
    <w:p w14:paraId="68C898C3">
      <w:pPr>
        <w:pStyle w:val="3"/>
      </w:pPr>
      <w:bookmarkStart w:id="7" w:name="_Toc5400"/>
      <w:r>
        <w:rPr>
          <w:rFonts w:ascii="黑体" w:hAnsi="黑体" w:eastAsia="黑体"/>
          <w:sz w:val="32"/>
        </w:rPr>
        <w:t>2. 主营业务</w:t>
      </w:r>
      <w:bookmarkEnd w:id="7"/>
    </w:p>
    <w:p w14:paraId="77BDC091">
      <w:pPr>
        <w:pStyle w:val="4"/>
      </w:pPr>
      <w:bookmarkStart w:id="8" w:name="_Toc30441"/>
      <w:r>
        <w:rPr>
          <w:rFonts w:ascii="黑体" w:hAnsi="黑体" w:eastAsia="黑体"/>
          <w:sz w:val="28"/>
        </w:rPr>
        <w:t>2.1 商业模式</w:t>
      </w:r>
      <w:bookmarkEnd w:id="8"/>
    </w:p>
    <w:p w14:paraId="49BAB18B">
      <w:pPr>
        <w:spacing w:line="360" w:lineRule="auto"/>
        <w:ind w:firstLine="420"/>
      </w:pPr>
      <w:r>
        <w:rPr>
          <w:rFonts w:ascii="宋体" w:hAnsi="宋体" w:eastAsia="宋体"/>
          <w:b w:val="0"/>
          <w:sz w:val="24"/>
        </w:rPr>
        <w:t>腾讯的核心商业模式可概括为"社交平台引流+多元业务变现"。微信和QQ作为两大社交流量入口，汇聚了海量用户注意力，腾讯通过游戏内购、社交网络增值服务（会员订阅、直播打赏）、广告营销、金融科技服务（支付、理财、借贷）及企业服务（云计算、SaaS）实现多元化商业变现。该模式的核心优势在于：社交网络的高频刚需属性带来极强的用户黏性（微信人均月使用次数超过1,000次），而基于社交关系的分发能力使得腾讯在游戏发行、内容传播和广告投放上具有独特竞争优势。</w:t>
      </w:r>
    </w:p>
    <w:p w14:paraId="6881AD64">
      <w:pPr>
        <w:pStyle w:val="4"/>
      </w:pPr>
      <w:bookmarkStart w:id="9" w:name="_Toc20376"/>
      <w:r>
        <w:rPr>
          <w:rFonts w:ascii="黑体" w:hAnsi="黑体" w:eastAsia="黑体"/>
          <w:sz w:val="28"/>
        </w:rPr>
        <w:t>2.2 业务与营收结构</w:t>
      </w:r>
      <w:bookmarkEnd w:id="9"/>
    </w:p>
    <w:p w14:paraId="7D67F3B5">
      <w:pPr>
        <w:spacing w:line="360" w:lineRule="auto"/>
      </w:pPr>
      <w:r>
        <w:rPr>
          <w:rFonts w:ascii="宋体" w:hAnsi="宋体" w:eastAsia="宋体"/>
          <w:b w:val="0"/>
          <w:sz w:val="24"/>
        </w:rPr>
        <w:t>2024年腾讯全年营收6,602.57亿元，三大业务板块构成如下：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57FF0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E2F3"/>
          </w:tcPr>
          <w:p w14:paraId="6D731627">
            <w:pPr>
              <w:spacing w:after="0"/>
              <w:jc w:val="center"/>
            </w:pPr>
            <w:r>
              <w:rPr>
                <w:rFonts w:ascii="宋体" w:hAnsi="宋体" w:eastAsia="宋体"/>
                <w:b/>
                <w:sz w:val="20"/>
              </w:rPr>
              <w:t>业务板块</w:t>
            </w:r>
          </w:p>
        </w:tc>
        <w:tc>
          <w:tcPr>
            <w:tcW w:w="1727" w:type="dxa"/>
            <w:shd w:val="clear" w:color="auto" w:fill="D9E2F3"/>
          </w:tcPr>
          <w:p w14:paraId="79533E8F">
            <w:pPr>
              <w:spacing w:after="0"/>
              <w:jc w:val="center"/>
            </w:pPr>
            <w:r>
              <w:rPr>
                <w:rFonts w:ascii="宋体" w:hAnsi="宋体" w:eastAsia="宋体"/>
                <w:b/>
                <w:sz w:val="20"/>
              </w:rPr>
              <w:t>2024年收入（亿元）</w:t>
            </w:r>
          </w:p>
        </w:tc>
        <w:tc>
          <w:tcPr>
            <w:tcW w:w="1727" w:type="dxa"/>
            <w:shd w:val="clear" w:color="auto" w:fill="D9E2F3"/>
          </w:tcPr>
          <w:p w14:paraId="027A7037">
            <w:pPr>
              <w:spacing w:after="0"/>
              <w:jc w:val="center"/>
            </w:pPr>
            <w:r>
              <w:rPr>
                <w:rFonts w:ascii="宋体" w:hAnsi="宋体" w:eastAsia="宋体"/>
                <w:b/>
                <w:sz w:val="20"/>
              </w:rPr>
              <w:t>同比增幅</w:t>
            </w:r>
          </w:p>
        </w:tc>
        <w:tc>
          <w:tcPr>
            <w:tcW w:w="1727" w:type="dxa"/>
            <w:shd w:val="clear" w:color="auto" w:fill="D9E2F3"/>
          </w:tcPr>
          <w:p w14:paraId="529F355B">
            <w:pPr>
              <w:spacing w:after="0"/>
              <w:jc w:val="center"/>
            </w:pPr>
            <w:r>
              <w:rPr>
                <w:rFonts w:ascii="宋体" w:hAnsi="宋体" w:eastAsia="宋体"/>
                <w:b/>
                <w:sz w:val="20"/>
              </w:rPr>
              <w:t>占总收入比重</w:t>
            </w:r>
          </w:p>
        </w:tc>
        <w:tc>
          <w:tcPr>
            <w:tcW w:w="1727" w:type="dxa"/>
            <w:shd w:val="clear" w:color="auto" w:fill="D9E2F3"/>
          </w:tcPr>
          <w:p w14:paraId="730E94CE">
            <w:pPr>
              <w:spacing w:after="0"/>
              <w:jc w:val="center"/>
            </w:pPr>
            <w:r>
              <w:rPr>
                <w:rFonts w:ascii="宋体" w:hAnsi="宋体" w:eastAsia="宋体"/>
                <w:b/>
                <w:sz w:val="20"/>
              </w:rPr>
              <w:t>毛利率</w:t>
            </w:r>
          </w:p>
        </w:tc>
      </w:tr>
      <w:tr w14:paraId="656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24F4FE59">
            <w:pPr>
              <w:spacing w:after="0"/>
              <w:jc w:val="center"/>
            </w:pPr>
            <w:r>
              <w:rPr>
                <w:rFonts w:ascii="宋体" w:hAnsi="宋体" w:eastAsia="宋体"/>
                <w:sz w:val="20"/>
              </w:rPr>
              <w:t>增值服务（VAS）</w:t>
            </w:r>
          </w:p>
        </w:tc>
        <w:tc>
          <w:tcPr>
            <w:tcW w:w="1727" w:type="dxa"/>
          </w:tcPr>
          <w:p w14:paraId="52A9C562">
            <w:pPr>
              <w:spacing w:after="0"/>
              <w:jc w:val="center"/>
            </w:pPr>
            <w:r>
              <w:rPr>
                <w:rFonts w:ascii="宋体" w:hAnsi="宋体" w:eastAsia="宋体"/>
                <w:sz w:val="20"/>
              </w:rPr>
              <w:t>3,191.68</w:t>
            </w:r>
          </w:p>
        </w:tc>
        <w:tc>
          <w:tcPr>
            <w:tcW w:w="1727" w:type="dxa"/>
          </w:tcPr>
          <w:p w14:paraId="6D65FA3C">
            <w:pPr>
              <w:spacing w:after="0"/>
              <w:jc w:val="center"/>
            </w:pPr>
            <w:r>
              <w:rPr>
                <w:rFonts w:ascii="宋体" w:hAnsi="宋体" w:eastAsia="宋体"/>
                <w:sz w:val="20"/>
              </w:rPr>
              <w:t>+7%</w:t>
            </w:r>
          </w:p>
        </w:tc>
        <w:tc>
          <w:tcPr>
            <w:tcW w:w="1727" w:type="dxa"/>
          </w:tcPr>
          <w:p w14:paraId="56F27490">
            <w:pPr>
              <w:spacing w:after="0"/>
              <w:jc w:val="center"/>
            </w:pPr>
            <w:r>
              <w:rPr>
                <w:rFonts w:ascii="宋体" w:hAnsi="宋体" w:eastAsia="宋体"/>
                <w:sz w:val="20"/>
              </w:rPr>
              <w:t>48.3%</w:t>
            </w:r>
          </w:p>
        </w:tc>
        <w:tc>
          <w:tcPr>
            <w:tcW w:w="1727" w:type="dxa"/>
          </w:tcPr>
          <w:p w14:paraId="0A4B7907">
            <w:pPr>
              <w:spacing w:after="0"/>
              <w:jc w:val="center"/>
            </w:pPr>
            <w:r>
              <w:rPr>
                <w:rFonts w:ascii="宋体" w:hAnsi="宋体" w:eastAsia="宋体"/>
                <w:sz w:val="20"/>
              </w:rPr>
              <w:t>~57%</w:t>
            </w:r>
          </w:p>
        </w:tc>
      </w:tr>
      <w:tr w14:paraId="380B9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C97F638">
            <w:pPr>
              <w:spacing w:after="0"/>
              <w:jc w:val="center"/>
            </w:pPr>
            <w:r>
              <w:rPr>
                <w:rFonts w:ascii="宋体" w:hAnsi="宋体" w:eastAsia="宋体"/>
                <w:sz w:val="20"/>
              </w:rPr>
              <w:t xml:space="preserve">  其中：本土游戏</w:t>
            </w:r>
          </w:p>
        </w:tc>
        <w:tc>
          <w:tcPr>
            <w:tcW w:w="1727" w:type="dxa"/>
          </w:tcPr>
          <w:p w14:paraId="3282E61C">
            <w:pPr>
              <w:spacing w:after="0"/>
              <w:jc w:val="center"/>
            </w:pPr>
            <w:r>
              <w:rPr>
                <w:rFonts w:ascii="宋体" w:hAnsi="宋体" w:eastAsia="宋体"/>
                <w:sz w:val="20"/>
              </w:rPr>
              <w:t>1,397</w:t>
            </w:r>
          </w:p>
        </w:tc>
        <w:tc>
          <w:tcPr>
            <w:tcW w:w="1727" w:type="dxa"/>
          </w:tcPr>
          <w:p w14:paraId="15E63F1A">
            <w:pPr>
              <w:spacing w:after="0"/>
              <w:jc w:val="center"/>
            </w:pPr>
            <w:r>
              <w:rPr>
                <w:rFonts w:ascii="宋体" w:hAnsi="宋体" w:eastAsia="宋体"/>
                <w:sz w:val="20"/>
              </w:rPr>
              <w:t>+10%</w:t>
            </w:r>
          </w:p>
        </w:tc>
        <w:tc>
          <w:tcPr>
            <w:tcW w:w="1727" w:type="dxa"/>
          </w:tcPr>
          <w:p w14:paraId="0088A2BD">
            <w:pPr>
              <w:spacing w:after="0"/>
              <w:jc w:val="center"/>
            </w:pPr>
            <w:r>
              <w:rPr>
                <w:rFonts w:ascii="宋体" w:hAnsi="宋体" w:eastAsia="宋体"/>
                <w:sz w:val="20"/>
              </w:rPr>
              <w:t>21.2%</w:t>
            </w:r>
          </w:p>
        </w:tc>
        <w:tc>
          <w:tcPr>
            <w:tcW w:w="1727" w:type="dxa"/>
          </w:tcPr>
          <w:p w14:paraId="735A413D">
            <w:pPr>
              <w:spacing w:after="0"/>
              <w:jc w:val="center"/>
            </w:pPr>
            <w:r>
              <w:rPr>
                <w:rFonts w:ascii="宋体" w:hAnsi="宋体" w:eastAsia="宋体"/>
                <w:sz w:val="20"/>
              </w:rPr>
              <w:t>—</w:t>
            </w:r>
          </w:p>
        </w:tc>
      </w:tr>
      <w:tr w14:paraId="5812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915AE3B">
            <w:pPr>
              <w:spacing w:after="0"/>
              <w:jc w:val="center"/>
            </w:pPr>
            <w:r>
              <w:rPr>
                <w:rFonts w:ascii="宋体" w:hAnsi="宋体" w:eastAsia="宋体"/>
                <w:sz w:val="20"/>
              </w:rPr>
              <w:t xml:space="preserve">  其中：国际游戏</w:t>
            </w:r>
          </w:p>
        </w:tc>
        <w:tc>
          <w:tcPr>
            <w:tcW w:w="1727" w:type="dxa"/>
          </w:tcPr>
          <w:p w14:paraId="1B32503B">
            <w:pPr>
              <w:spacing w:after="0"/>
              <w:jc w:val="center"/>
            </w:pPr>
            <w:r>
              <w:rPr>
                <w:rFonts w:ascii="宋体" w:hAnsi="宋体" w:eastAsia="宋体"/>
                <w:sz w:val="20"/>
              </w:rPr>
              <w:t>580</w:t>
            </w:r>
          </w:p>
        </w:tc>
        <w:tc>
          <w:tcPr>
            <w:tcW w:w="1727" w:type="dxa"/>
          </w:tcPr>
          <w:p w14:paraId="5030E58D">
            <w:pPr>
              <w:spacing w:after="0"/>
              <w:jc w:val="center"/>
            </w:pPr>
            <w:r>
              <w:rPr>
                <w:rFonts w:ascii="宋体" w:hAnsi="宋体" w:eastAsia="宋体"/>
                <w:sz w:val="20"/>
              </w:rPr>
              <w:t>+9%</w:t>
            </w:r>
          </w:p>
        </w:tc>
        <w:tc>
          <w:tcPr>
            <w:tcW w:w="1727" w:type="dxa"/>
          </w:tcPr>
          <w:p w14:paraId="4E4F71AD">
            <w:pPr>
              <w:spacing w:after="0"/>
              <w:jc w:val="center"/>
            </w:pPr>
            <w:r>
              <w:rPr>
                <w:rFonts w:ascii="宋体" w:hAnsi="宋体" w:eastAsia="宋体"/>
                <w:sz w:val="20"/>
              </w:rPr>
              <w:t>8.8%</w:t>
            </w:r>
          </w:p>
        </w:tc>
        <w:tc>
          <w:tcPr>
            <w:tcW w:w="1727" w:type="dxa"/>
          </w:tcPr>
          <w:p w14:paraId="3013A149">
            <w:pPr>
              <w:spacing w:after="0"/>
              <w:jc w:val="center"/>
            </w:pPr>
            <w:r>
              <w:rPr>
                <w:rFonts w:ascii="宋体" w:hAnsi="宋体" w:eastAsia="宋体"/>
                <w:sz w:val="20"/>
              </w:rPr>
              <w:t>—</w:t>
            </w:r>
          </w:p>
        </w:tc>
      </w:tr>
      <w:tr w14:paraId="026B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94FDD5A">
            <w:pPr>
              <w:spacing w:after="0"/>
              <w:jc w:val="center"/>
            </w:pPr>
            <w:r>
              <w:rPr>
                <w:rFonts w:ascii="宋体" w:hAnsi="宋体" w:eastAsia="宋体"/>
                <w:sz w:val="20"/>
              </w:rPr>
              <w:t xml:space="preserve">  其中：社交网络</w:t>
            </w:r>
          </w:p>
        </w:tc>
        <w:tc>
          <w:tcPr>
            <w:tcW w:w="1727" w:type="dxa"/>
          </w:tcPr>
          <w:p w14:paraId="72F55AFE">
            <w:pPr>
              <w:spacing w:after="0"/>
              <w:jc w:val="center"/>
            </w:pPr>
            <w:r>
              <w:rPr>
                <w:rFonts w:ascii="宋体" w:hAnsi="宋体" w:eastAsia="宋体"/>
                <w:sz w:val="20"/>
              </w:rPr>
              <w:t>1,215</w:t>
            </w:r>
          </w:p>
        </w:tc>
        <w:tc>
          <w:tcPr>
            <w:tcW w:w="1727" w:type="dxa"/>
          </w:tcPr>
          <w:p w14:paraId="70C747DD">
            <w:pPr>
              <w:spacing w:after="0"/>
              <w:jc w:val="center"/>
            </w:pPr>
            <w:r>
              <w:rPr>
                <w:rFonts w:ascii="宋体" w:hAnsi="宋体" w:eastAsia="宋体"/>
                <w:sz w:val="20"/>
              </w:rPr>
              <w:t>+2%</w:t>
            </w:r>
          </w:p>
        </w:tc>
        <w:tc>
          <w:tcPr>
            <w:tcW w:w="1727" w:type="dxa"/>
          </w:tcPr>
          <w:p w14:paraId="57F825D5">
            <w:pPr>
              <w:spacing w:after="0"/>
              <w:jc w:val="center"/>
            </w:pPr>
            <w:r>
              <w:rPr>
                <w:rFonts w:ascii="宋体" w:hAnsi="宋体" w:eastAsia="宋体"/>
                <w:sz w:val="20"/>
              </w:rPr>
              <w:t>18.4%</w:t>
            </w:r>
          </w:p>
        </w:tc>
        <w:tc>
          <w:tcPr>
            <w:tcW w:w="1727" w:type="dxa"/>
          </w:tcPr>
          <w:p w14:paraId="3DC9F6E4">
            <w:pPr>
              <w:spacing w:after="0"/>
              <w:jc w:val="center"/>
            </w:pPr>
            <w:r>
              <w:rPr>
                <w:rFonts w:ascii="宋体" w:hAnsi="宋体" w:eastAsia="宋体"/>
                <w:sz w:val="20"/>
              </w:rPr>
              <w:t>—</w:t>
            </w:r>
          </w:p>
        </w:tc>
      </w:tr>
      <w:tr w14:paraId="5EAA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A7D531C">
            <w:pPr>
              <w:spacing w:after="0"/>
              <w:jc w:val="center"/>
            </w:pPr>
            <w:r>
              <w:rPr>
                <w:rFonts w:ascii="宋体" w:hAnsi="宋体" w:eastAsia="宋体"/>
                <w:sz w:val="20"/>
              </w:rPr>
              <w:t>营销服务（广告）</w:t>
            </w:r>
          </w:p>
        </w:tc>
        <w:tc>
          <w:tcPr>
            <w:tcW w:w="1727" w:type="dxa"/>
          </w:tcPr>
          <w:p w14:paraId="18DCACC3">
            <w:pPr>
              <w:spacing w:after="0"/>
              <w:jc w:val="center"/>
            </w:pPr>
            <w:r>
              <w:rPr>
                <w:rFonts w:ascii="宋体" w:hAnsi="宋体" w:eastAsia="宋体"/>
                <w:sz w:val="20"/>
              </w:rPr>
              <w:t>1,213.74</w:t>
            </w:r>
          </w:p>
        </w:tc>
        <w:tc>
          <w:tcPr>
            <w:tcW w:w="1727" w:type="dxa"/>
          </w:tcPr>
          <w:p w14:paraId="46B54BCC">
            <w:pPr>
              <w:spacing w:after="0"/>
              <w:jc w:val="center"/>
            </w:pPr>
            <w:r>
              <w:rPr>
                <w:rFonts w:ascii="宋体" w:hAnsi="宋体" w:eastAsia="宋体"/>
                <w:sz w:val="20"/>
              </w:rPr>
              <w:t>+20%</w:t>
            </w:r>
          </w:p>
        </w:tc>
        <w:tc>
          <w:tcPr>
            <w:tcW w:w="1727" w:type="dxa"/>
          </w:tcPr>
          <w:p w14:paraId="27378094">
            <w:pPr>
              <w:spacing w:after="0"/>
              <w:jc w:val="center"/>
            </w:pPr>
            <w:r>
              <w:rPr>
                <w:rFonts w:ascii="宋体" w:hAnsi="宋体" w:eastAsia="宋体"/>
                <w:sz w:val="20"/>
              </w:rPr>
              <w:t>18.4%</w:t>
            </w:r>
          </w:p>
        </w:tc>
        <w:tc>
          <w:tcPr>
            <w:tcW w:w="1727" w:type="dxa"/>
          </w:tcPr>
          <w:p w14:paraId="2A14832D">
            <w:pPr>
              <w:spacing w:after="0"/>
              <w:jc w:val="center"/>
            </w:pPr>
            <w:r>
              <w:rPr>
                <w:rFonts w:ascii="宋体" w:hAnsi="宋体" w:eastAsia="宋体"/>
                <w:sz w:val="20"/>
              </w:rPr>
              <w:t>~55%</w:t>
            </w:r>
          </w:p>
        </w:tc>
      </w:tr>
      <w:tr w14:paraId="5647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BBEDC38">
            <w:pPr>
              <w:spacing w:after="0"/>
              <w:jc w:val="center"/>
            </w:pPr>
            <w:r>
              <w:rPr>
                <w:rFonts w:ascii="宋体" w:hAnsi="宋体" w:eastAsia="宋体"/>
                <w:sz w:val="20"/>
              </w:rPr>
              <w:t>金融科技及企业服务</w:t>
            </w:r>
          </w:p>
        </w:tc>
        <w:tc>
          <w:tcPr>
            <w:tcW w:w="1727" w:type="dxa"/>
          </w:tcPr>
          <w:p w14:paraId="2902131E">
            <w:pPr>
              <w:spacing w:after="0"/>
              <w:jc w:val="center"/>
            </w:pPr>
            <w:r>
              <w:rPr>
                <w:rFonts w:ascii="宋体" w:hAnsi="宋体" w:eastAsia="宋体"/>
                <w:sz w:val="20"/>
              </w:rPr>
              <w:t>2,119.56</w:t>
            </w:r>
          </w:p>
        </w:tc>
        <w:tc>
          <w:tcPr>
            <w:tcW w:w="1727" w:type="dxa"/>
          </w:tcPr>
          <w:p w14:paraId="4FA05477">
            <w:pPr>
              <w:spacing w:after="0"/>
              <w:jc w:val="center"/>
            </w:pPr>
            <w:r>
              <w:rPr>
                <w:rFonts w:ascii="宋体" w:hAnsi="宋体" w:eastAsia="宋体"/>
                <w:sz w:val="20"/>
              </w:rPr>
              <w:t>+4%</w:t>
            </w:r>
          </w:p>
        </w:tc>
        <w:tc>
          <w:tcPr>
            <w:tcW w:w="1727" w:type="dxa"/>
          </w:tcPr>
          <w:p w14:paraId="462C1794">
            <w:pPr>
              <w:spacing w:after="0"/>
              <w:jc w:val="center"/>
            </w:pPr>
            <w:r>
              <w:rPr>
                <w:rFonts w:ascii="宋体" w:hAnsi="宋体" w:eastAsia="宋体"/>
                <w:sz w:val="20"/>
              </w:rPr>
              <w:t>32.1%</w:t>
            </w:r>
          </w:p>
        </w:tc>
        <w:tc>
          <w:tcPr>
            <w:tcW w:w="1727" w:type="dxa"/>
          </w:tcPr>
          <w:p w14:paraId="218AB364">
            <w:pPr>
              <w:spacing w:after="0"/>
              <w:jc w:val="center"/>
            </w:pPr>
            <w:r>
              <w:rPr>
                <w:rFonts w:ascii="宋体" w:hAnsi="宋体" w:eastAsia="宋体"/>
                <w:sz w:val="20"/>
              </w:rPr>
              <w:t>~47%</w:t>
            </w:r>
          </w:p>
        </w:tc>
      </w:tr>
      <w:tr w14:paraId="5EC9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BF67FCC">
            <w:pPr>
              <w:spacing w:after="0"/>
              <w:jc w:val="center"/>
            </w:pPr>
            <w:r>
              <w:rPr>
                <w:rFonts w:ascii="宋体" w:hAnsi="宋体" w:eastAsia="宋体"/>
                <w:sz w:val="20"/>
              </w:rPr>
              <w:t>其他</w:t>
            </w:r>
          </w:p>
        </w:tc>
        <w:tc>
          <w:tcPr>
            <w:tcW w:w="1727" w:type="dxa"/>
          </w:tcPr>
          <w:p w14:paraId="3FEE29C6">
            <w:pPr>
              <w:spacing w:after="0"/>
              <w:jc w:val="center"/>
            </w:pPr>
            <w:r>
              <w:rPr>
                <w:rFonts w:ascii="宋体" w:hAnsi="宋体" w:eastAsia="宋体"/>
                <w:sz w:val="20"/>
              </w:rPr>
              <w:t>77.59</w:t>
            </w:r>
          </w:p>
        </w:tc>
        <w:tc>
          <w:tcPr>
            <w:tcW w:w="1727" w:type="dxa"/>
          </w:tcPr>
          <w:p w14:paraId="65ACDBF8">
            <w:pPr>
              <w:spacing w:after="0"/>
              <w:jc w:val="center"/>
            </w:pPr>
            <w:r>
              <w:rPr>
                <w:rFonts w:ascii="宋体" w:hAnsi="宋体" w:eastAsia="宋体"/>
                <w:sz w:val="20"/>
              </w:rPr>
              <w:t>—</w:t>
            </w:r>
          </w:p>
        </w:tc>
        <w:tc>
          <w:tcPr>
            <w:tcW w:w="1727" w:type="dxa"/>
          </w:tcPr>
          <w:p w14:paraId="691DD1BE">
            <w:pPr>
              <w:spacing w:after="0"/>
              <w:jc w:val="center"/>
            </w:pPr>
            <w:r>
              <w:rPr>
                <w:rFonts w:ascii="宋体" w:hAnsi="宋体" w:eastAsia="宋体"/>
                <w:sz w:val="20"/>
              </w:rPr>
              <w:t>1.2%</w:t>
            </w:r>
          </w:p>
        </w:tc>
        <w:tc>
          <w:tcPr>
            <w:tcW w:w="1727" w:type="dxa"/>
          </w:tcPr>
          <w:p w14:paraId="77ABF3FD">
            <w:pPr>
              <w:spacing w:after="0"/>
              <w:jc w:val="center"/>
            </w:pPr>
            <w:r>
              <w:rPr>
                <w:rFonts w:ascii="宋体" w:hAnsi="宋体" w:eastAsia="宋体"/>
                <w:sz w:val="20"/>
              </w:rPr>
              <w:t>—</w:t>
            </w:r>
          </w:p>
        </w:tc>
      </w:tr>
      <w:tr w14:paraId="7294D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03F344D">
            <w:pPr>
              <w:spacing w:after="0"/>
              <w:jc w:val="center"/>
            </w:pPr>
            <w:r>
              <w:rPr>
                <w:rFonts w:ascii="宋体" w:hAnsi="宋体" w:eastAsia="宋体"/>
                <w:sz w:val="20"/>
              </w:rPr>
              <w:t>合计</w:t>
            </w:r>
          </w:p>
        </w:tc>
        <w:tc>
          <w:tcPr>
            <w:tcW w:w="1727" w:type="dxa"/>
          </w:tcPr>
          <w:p w14:paraId="6720D274">
            <w:pPr>
              <w:spacing w:after="0"/>
              <w:jc w:val="center"/>
            </w:pPr>
            <w:r>
              <w:rPr>
                <w:rFonts w:ascii="宋体" w:hAnsi="宋体" w:eastAsia="宋体"/>
                <w:sz w:val="20"/>
              </w:rPr>
              <w:t>6,602.57</w:t>
            </w:r>
          </w:p>
        </w:tc>
        <w:tc>
          <w:tcPr>
            <w:tcW w:w="1727" w:type="dxa"/>
          </w:tcPr>
          <w:p w14:paraId="767CB1CF">
            <w:pPr>
              <w:spacing w:after="0"/>
              <w:jc w:val="center"/>
            </w:pPr>
            <w:r>
              <w:rPr>
                <w:rFonts w:ascii="宋体" w:hAnsi="宋体" w:eastAsia="宋体"/>
                <w:sz w:val="20"/>
              </w:rPr>
              <w:t>+8%</w:t>
            </w:r>
          </w:p>
        </w:tc>
        <w:tc>
          <w:tcPr>
            <w:tcW w:w="1727" w:type="dxa"/>
          </w:tcPr>
          <w:p w14:paraId="7579CFCF">
            <w:pPr>
              <w:spacing w:after="0"/>
              <w:jc w:val="center"/>
            </w:pPr>
            <w:r>
              <w:rPr>
                <w:rFonts w:ascii="宋体" w:hAnsi="宋体" w:eastAsia="宋体"/>
                <w:sz w:val="20"/>
              </w:rPr>
              <w:t>100%</w:t>
            </w:r>
          </w:p>
        </w:tc>
        <w:tc>
          <w:tcPr>
            <w:tcW w:w="1727" w:type="dxa"/>
          </w:tcPr>
          <w:p w14:paraId="7C61078D">
            <w:pPr>
              <w:spacing w:after="0"/>
              <w:jc w:val="center"/>
            </w:pPr>
            <w:r>
              <w:rPr>
                <w:rFonts w:ascii="宋体" w:hAnsi="宋体" w:eastAsia="宋体"/>
                <w:sz w:val="20"/>
              </w:rPr>
              <w:t>52.9%</w:t>
            </w:r>
          </w:p>
        </w:tc>
      </w:tr>
    </w:tbl>
    <w:p w14:paraId="320000FF"/>
    <w:p w14:paraId="46C024A9">
      <w:pPr>
        <w:pStyle w:val="4"/>
      </w:pPr>
      <w:bookmarkStart w:id="10" w:name="_Toc21971"/>
      <w:r>
        <w:rPr>
          <w:rFonts w:ascii="黑体" w:hAnsi="黑体" w:eastAsia="黑体"/>
          <w:sz w:val="28"/>
        </w:rPr>
        <w:t>2.3 主要客户与供应商</w:t>
      </w:r>
      <w:bookmarkEnd w:id="10"/>
    </w:p>
    <w:p w14:paraId="02F3FF85">
      <w:pPr>
        <w:spacing w:line="360" w:lineRule="auto"/>
        <w:ind w:firstLine="420"/>
      </w:pPr>
      <w:r>
        <w:rPr>
          <w:rFonts w:ascii="宋体" w:hAnsi="宋体" w:eastAsia="宋体"/>
          <w:b w:val="0"/>
          <w:sz w:val="24"/>
        </w:rPr>
        <w:t>腾讯业务以C端消费者为主，客户群体极为分散，不存在对单一客户的重大依赖。B端客户主要为广告主（游戏、电商、教育等行业）和企业服务客户（政企数字化）。供应商方面，主要依赖服务器/网络设备供应商（如英伟达GPU、华为/浪潮服务器）和带宽/CDN提供商。2024年因AI基础设施大幅扩张，GPU采购量激增，腾讯已成为全球前三大GPU采购商之一，对英伟达等芯片供应商存在一定依赖。</w:t>
      </w:r>
    </w:p>
    <w:p w14:paraId="7570EBFD">
      <w:pPr>
        <w:pStyle w:val="4"/>
      </w:pPr>
      <w:bookmarkStart w:id="11" w:name="_Toc12859"/>
      <w:r>
        <w:rPr>
          <w:rFonts w:ascii="黑体" w:hAnsi="黑体" w:eastAsia="黑体"/>
          <w:sz w:val="28"/>
        </w:rPr>
        <w:t>2.4 产能与核心技术</w:t>
      </w:r>
      <w:bookmarkEnd w:id="11"/>
    </w:p>
    <w:p w14:paraId="65A8221D">
      <w:pPr>
        <w:spacing w:line="360" w:lineRule="auto"/>
        <w:ind w:firstLine="420"/>
      </w:pPr>
      <w:r>
        <w:rPr>
          <w:rFonts w:ascii="宋体" w:hAnsi="宋体" w:eastAsia="宋体"/>
          <w:b w:val="0"/>
          <w:sz w:val="24"/>
        </w:rPr>
        <w:t>在产能方面，腾讯云在全球运营超过100个可用区，服务器保有量超百万台。2024年资本开支767.6亿元（同比+221%），主要用于GPU服务器采购和数据中心建设，为AI大模型训练和推理提供算力基础设施。在核心技术方面，腾讯拥有以下关键能力：（1）自研混元大模型，已接入700+内部场景；（2）分布式数据库TDSQL，支撑微信支付等核心交易系统；（3）实时音视频通信技术TRTC，用户覆盖超过200个国家和地区；（4）游戏引擎和开发工具链，包括对Riot Games、Supercell等全球知名工作室的深度技术积累；（5）广告AI精准投放系统，驱动广告收入同比增长20%。截至2024年底，腾讯在全球拥有超过5.3万件专利申请，其中AI相关专利超过1万件。</w:t>
      </w:r>
    </w:p>
    <w:p w14:paraId="449C684E">
      <w:pPr>
        <w:pStyle w:val="3"/>
      </w:pPr>
      <w:bookmarkStart w:id="12" w:name="_Toc12261"/>
      <w:r>
        <w:rPr>
          <w:rFonts w:ascii="黑体" w:hAnsi="黑体" w:eastAsia="黑体"/>
          <w:sz w:val="32"/>
        </w:rPr>
        <w:t>3. 风险管理环境</w:t>
      </w:r>
      <w:bookmarkEnd w:id="12"/>
    </w:p>
    <w:p w14:paraId="074FB07D">
      <w:pPr>
        <w:pStyle w:val="4"/>
      </w:pPr>
      <w:bookmarkStart w:id="13" w:name="_Toc7604"/>
      <w:r>
        <w:rPr>
          <w:rFonts w:ascii="黑体" w:hAnsi="黑体" w:eastAsia="黑体"/>
          <w:sz w:val="28"/>
        </w:rPr>
        <w:t>3.1 企业风控体系与投资人逻辑</w:t>
      </w:r>
      <w:bookmarkEnd w:id="13"/>
    </w:p>
    <w:p w14:paraId="4AE2F410">
      <w:pPr>
        <w:spacing w:line="360" w:lineRule="auto"/>
        <w:ind w:firstLine="420"/>
      </w:pPr>
      <w:r>
        <w:rPr>
          <w:rFonts w:ascii="宋体" w:hAnsi="宋体" w:eastAsia="宋体"/>
          <w:b w:val="0"/>
          <w:sz w:val="24"/>
        </w:rPr>
        <w:t>腾讯的风险管理体系遵循COSO ERM 2017框架，整合了治理与文化、战略与目标设定、绩效、审阅与修订、信息沟通与报告五大要素。在投资人逻辑层面，2021年以来，市场对腾讯的估值逻辑经历了从"成长股"到"价值股"再到"AI成长股"的三阶段转变。2024年，投资人最为关注的核心风险包括：AI战略的执行力（资本开支是否转化为增长）、监管环境的稳定性（平台经济政策能否持续友好）、以及竞争格局的变化（字节跳动是否正在系统性侵蚀腾讯的基本盘）。2025年3月财报发布后股价大跌6.8%，恰恰反映出市场对腾讯"叙事重启"的期待与焦虑。</w:t>
      </w:r>
    </w:p>
    <w:p w14:paraId="30D8A650">
      <w:pPr>
        <w:pStyle w:val="4"/>
      </w:pPr>
      <w:bookmarkStart w:id="14" w:name="_Toc402"/>
      <w:r>
        <w:rPr>
          <w:rFonts w:ascii="黑体" w:hAnsi="黑体" w:eastAsia="黑体"/>
          <w:sz w:val="28"/>
        </w:rPr>
        <w:t>3.2 外部风险</w:t>
      </w:r>
      <w:bookmarkEnd w:id="14"/>
    </w:p>
    <w:p w14:paraId="3418FE8C">
      <w:pPr>
        <w:spacing w:line="360" w:lineRule="auto"/>
        <w:ind w:firstLine="420"/>
      </w:pPr>
      <w:r>
        <w:rPr>
          <w:rFonts w:ascii="宋体" w:hAnsi="宋体" w:eastAsia="宋体"/>
          <w:b/>
          <w:sz w:val="24"/>
        </w:rPr>
        <w:t>（1）政策与监管风险</w:t>
      </w:r>
    </w:p>
    <w:p w14:paraId="21C07C34">
      <w:pPr>
        <w:spacing w:line="360" w:lineRule="auto"/>
        <w:ind w:firstLine="420"/>
      </w:pPr>
      <w:r>
        <w:rPr>
          <w:rFonts w:ascii="宋体" w:hAnsi="宋体" w:eastAsia="宋体"/>
          <w:b w:val="0"/>
          <w:sz w:val="24"/>
        </w:rPr>
        <w:t>互联网行业受严格监管，涵盖游戏版号审批、未成年人保护、数据安全与隐私、反垄断与平台经济治理、算法透明度要求等多个领域。2021-2023年的"运动式"监管虽然已转向"常态化"，但新的监管议题（如算法治理、AIGC合规、短视频内容审核）仍在持续涌现。2024年11月网信办启动"清朗·网络平台算法典型问题治理"专项行动，要求算法公开透明；2025年"中国游戏算法诉讼第一案"（王者荣耀匹配机制）的开庭，标志着监管关注点从"内容"延伸至"技术机制"。</w:t>
      </w:r>
    </w:p>
    <w:p w14:paraId="73BF74BA">
      <w:pPr>
        <w:spacing w:line="360" w:lineRule="auto"/>
        <w:ind w:firstLine="420"/>
      </w:pPr>
      <w:r>
        <w:rPr>
          <w:rFonts w:ascii="宋体" w:hAnsi="宋体" w:eastAsia="宋体"/>
          <w:b/>
          <w:sz w:val="24"/>
        </w:rPr>
        <w:t>（2）行业竞争风险</w:t>
      </w:r>
    </w:p>
    <w:p w14:paraId="6B4C5675">
      <w:pPr>
        <w:spacing w:line="360" w:lineRule="auto"/>
        <w:ind w:firstLine="420"/>
      </w:pPr>
      <w:r>
        <w:rPr>
          <w:rFonts w:ascii="宋体" w:hAnsi="宋体" w:eastAsia="宋体"/>
          <w:b w:val="0"/>
          <w:sz w:val="24"/>
        </w:rPr>
        <w:t>互联网行业竞争日趋白热化。字节跳动系凭借抖音/TikTok的超级流量入口和激进的AI投入，在多个领域对腾讯形成正面竞争：2026年1月字节系用户时长占比（37.4%）首超腾讯系（30.0%）；字节豆包月活3.15亿远超腾讯元宝（1.09亿）；字节跳动净利润规模在2025年可能已超过腾讯。在游戏领域，米哈游、网易等厂商持续推出高品质产品，腾讯的"长青游戏"策略面临创新迭代挑战。在云计算领域，阿里云、华为云的先发优势依然明显。</w:t>
      </w:r>
    </w:p>
    <w:p w14:paraId="6783ADE2">
      <w:pPr>
        <w:spacing w:line="360" w:lineRule="auto"/>
        <w:ind w:firstLine="420"/>
      </w:pPr>
      <w:r>
        <w:rPr>
          <w:rFonts w:ascii="宋体" w:hAnsi="宋体" w:eastAsia="宋体"/>
          <w:b/>
          <w:sz w:val="24"/>
        </w:rPr>
        <w:t>（3）社会与文化风险</w:t>
      </w:r>
    </w:p>
    <w:p w14:paraId="3A2AD3D8">
      <w:pPr>
        <w:spacing w:line="360" w:lineRule="auto"/>
        <w:ind w:firstLine="420"/>
      </w:pPr>
      <w:r>
        <w:rPr>
          <w:rFonts w:ascii="宋体" w:hAnsi="宋体" w:eastAsia="宋体"/>
          <w:b w:val="0"/>
          <w:sz w:val="24"/>
        </w:rPr>
        <w:t>游戏沉迷问题持续引发社会争议，尽管腾讯已建立严格的未成年人保护体系（实名认证、人脸识别、宵禁限制等），但舆论对"精神鸦片"的批评不时升温。在内容平台领域，虚假信息、网络暴力、隐私泄露等社会治理问题也给平台运营带来声誉和合规压力。此外，AI技术的广泛应用引发了社会对就业替代、算法偏见等问题的担忧。</w:t>
      </w:r>
    </w:p>
    <w:p w14:paraId="3CE21223">
      <w:pPr>
        <w:spacing w:line="360" w:lineRule="auto"/>
        <w:ind w:firstLine="420"/>
      </w:pPr>
      <w:r>
        <w:rPr>
          <w:rFonts w:ascii="宋体" w:hAnsi="宋体" w:eastAsia="宋体"/>
          <w:b/>
          <w:sz w:val="24"/>
        </w:rPr>
        <w:t>（4）科技风险</w:t>
      </w:r>
    </w:p>
    <w:p w14:paraId="66A382EE">
      <w:pPr>
        <w:spacing w:line="360" w:lineRule="auto"/>
        <w:ind w:firstLine="420"/>
      </w:pPr>
      <w:r>
        <w:rPr>
          <w:rFonts w:ascii="宋体" w:hAnsi="宋体" w:eastAsia="宋体"/>
          <w:b w:val="0"/>
          <w:sz w:val="24"/>
        </w:rPr>
        <w:t>AI技术的快速迭代既是机遇也是风险。大模型训练和推理需要巨额算力投入，若AI应用未能如期实现商业化回报，巨额资本开支将拖累盈利能力。同时，AI生成内容的版权归属、深度伪造（Deepfake）检测、模型安全等新问题给合规体系带来全新挑战。此外，对高端GPU的供应链依赖在芯片出口管制背景下存在不确定性。</w:t>
      </w:r>
    </w:p>
    <w:p w14:paraId="64574CCF">
      <w:pPr>
        <w:spacing w:line="360" w:lineRule="auto"/>
        <w:ind w:firstLine="420"/>
      </w:pPr>
      <w:r>
        <w:rPr>
          <w:rFonts w:ascii="宋体" w:hAnsi="宋体" w:eastAsia="宋体"/>
          <w:b/>
          <w:sz w:val="24"/>
        </w:rPr>
        <w:t>（5）法律与法规风险</w:t>
      </w:r>
    </w:p>
    <w:p w14:paraId="12BF9E3A">
      <w:pPr>
        <w:spacing w:line="360" w:lineRule="auto"/>
        <w:ind w:firstLine="420"/>
      </w:pPr>
      <w:r>
        <w:rPr>
          <w:rFonts w:ascii="宋体" w:hAnsi="宋体" w:eastAsia="宋体"/>
          <w:b w:val="0"/>
          <w:sz w:val="24"/>
        </w:rPr>
        <w:t>腾讯在全球多个司法管辖区运营，须遵守各地不同的法律法规。2025年1月被美国国防部列入CMC清单（1260H），虽非制裁清单但存在升级为投资禁令的可能性。知识产权保护（如索尼诉《荒野起源》侵权案）、数据跨境传输合规（《个人信息保护法》《数据安全法》）以及反洗钱/反恐融资合规等都是持续的法律合规成本来源。</w:t>
      </w:r>
    </w:p>
    <w:p w14:paraId="07E3EF93">
      <w:pPr>
        <w:pStyle w:val="4"/>
      </w:pPr>
      <w:bookmarkStart w:id="15" w:name="_Toc26888"/>
      <w:r>
        <w:rPr>
          <w:rFonts w:ascii="黑体" w:hAnsi="黑体" w:eastAsia="黑体"/>
          <w:sz w:val="28"/>
        </w:rPr>
        <w:t>3.3 内部风险</w:t>
      </w:r>
      <w:bookmarkEnd w:id="15"/>
    </w:p>
    <w:p w14:paraId="0EC3FC39">
      <w:pPr>
        <w:spacing w:line="360" w:lineRule="auto"/>
        <w:ind w:firstLine="420"/>
      </w:pPr>
      <w:r>
        <w:rPr>
          <w:rFonts w:ascii="宋体" w:hAnsi="宋体" w:eastAsia="宋体"/>
          <w:b/>
          <w:sz w:val="24"/>
        </w:rPr>
        <w:t>（1）战略风险</w:t>
      </w:r>
    </w:p>
    <w:p w14:paraId="2A0BC71A">
      <w:pPr>
        <w:spacing w:line="360" w:lineRule="auto"/>
        <w:ind w:firstLine="420"/>
      </w:pPr>
      <w:r>
        <w:rPr>
          <w:rFonts w:ascii="宋体" w:hAnsi="宋体" w:eastAsia="宋体"/>
          <w:b w:val="0"/>
          <w:sz w:val="24"/>
        </w:rPr>
        <w:t>AI战略定位从"后发跟跑"到"应用层崛起"的转型存在不确定性。腾讯2025年AI资本开支（792亿元）远低于字节跳动（~1,600亿元）和阿里巴巴（三年3,800亿元计划），市场担忧其在AI底层算力的"军备竞赛"中落后。此外，微信生态的商业化潜力能否在AI时代充分释放仍是未知数。</w:t>
      </w:r>
    </w:p>
    <w:p w14:paraId="0A04BA97">
      <w:pPr>
        <w:spacing w:line="360" w:lineRule="auto"/>
        <w:ind w:firstLine="420"/>
      </w:pPr>
      <w:r>
        <w:rPr>
          <w:rFonts w:ascii="宋体" w:hAnsi="宋体" w:eastAsia="宋体"/>
          <w:b/>
          <w:sz w:val="24"/>
        </w:rPr>
        <w:t>（2）运营与生产风险</w:t>
      </w:r>
    </w:p>
    <w:p w14:paraId="02FB7B66">
      <w:pPr>
        <w:spacing w:line="360" w:lineRule="auto"/>
        <w:ind w:firstLine="420"/>
      </w:pPr>
      <w:r>
        <w:rPr>
          <w:rFonts w:ascii="宋体" w:hAnsi="宋体" w:eastAsia="宋体"/>
          <w:b w:val="0"/>
          <w:sz w:val="24"/>
        </w:rPr>
        <w:t>腾讯游戏业务的运营风险集中在：核心产品的生命周期管理（《王者荣耀》已运营近10年）、新游戏上线的不确定性（《星之破晓》等多款IP衍生游戏未按预期上线）、以及海外工作室的整合管理效率。在云计算和AI领域，技术架构的快速迭代和大规模基础设施的运营复杂度不断提升。</w:t>
      </w:r>
    </w:p>
    <w:p w14:paraId="5DDCDA9D">
      <w:pPr>
        <w:spacing w:line="360" w:lineRule="auto"/>
        <w:ind w:firstLine="420"/>
      </w:pPr>
      <w:r>
        <w:rPr>
          <w:rFonts w:ascii="宋体" w:hAnsi="宋体" w:eastAsia="宋体"/>
          <w:b/>
          <w:sz w:val="24"/>
        </w:rPr>
        <w:t>（3）财务风险</w:t>
      </w:r>
    </w:p>
    <w:p w14:paraId="299A27E9">
      <w:pPr>
        <w:spacing w:line="360" w:lineRule="auto"/>
        <w:ind w:firstLine="420"/>
      </w:pPr>
      <w:r>
        <w:rPr>
          <w:rFonts w:ascii="宋体" w:hAnsi="宋体" w:eastAsia="宋体"/>
          <w:b w:val="0"/>
          <w:sz w:val="24"/>
        </w:rPr>
        <w:t>2024年财务表现整体稳健：资产负债率40.8%，经营活动现金流2,585亿元（+16.5%），总现金4,154亿元。但以下财务风险因素值得关注：大规模资本开支（2024年768亿元）对自由现金流的挤压效应（自由现金流同比下降7%）；投资组合公允价值波动（上市投资公司权益公允价值5,698亿元）；以及大规模回购（2024年1,120亿港元）与AI投资之间对资金配置的竞争关系。</w:t>
      </w:r>
    </w:p>
    <w:p w14:paraId="5DFD293F">
      <w:pPr>
        <w:spacing w:line="360" w:lineRule="auto"/>
        <w:ind w:firstLine="420"/>
      </w:pPr>
      <w:r>
        <w:rPr>
          <w:rFonts w:ascii="宋体" w:hAnsi="宋体" w:eastAsia="宋体"/>
          <w:b/>
          <w:sz w:val="24"/>
        </w:rPr>
        <w:t>（4）技术风险</w:t>
      </w:r>
    </w:p>
    <w:p w14:paraId="7EFB09A1">
      <w:pPr>
        <w:spacing w:line="360" w:lineRule="auto"/>
        <w:ind w:firstLine="420"/>
      </w:pPr>
      <w:r>
        <w:rPr>
          <w:rFonts w:ascii="宋体" w:hAnsi="宋体" w:eastAsia="宋体"/>
          <w:b w:val="0"/>
          <w:sz w:val="24"/>
        </w:rPr>
        <w:t>包括但不限于：AI模型的可解释性与安全性风险、核心系统的稳定性和容灾能力、大规模用户数据的安全存储与传输、第三方SDK/开源组件的供应链安全风险等。2025年腾讯已启用AI技术风控，自建多个AI分析工具构建动态风险模型，但技术风险的复杂性和不可预见性仍在持续上升。</w:t>
      </w:r>
    </w:p>
    <w:p w14:paraId="6E2E1218">
      <w:pPr>
        <w:spacing w:line="360" w:lineRule="auto"/>
        <w:ind w:firstLine="420"/>
      </w:pPr>
      <w:r>
        <w:rPr>
          <w:rFonts w:ascii="宋体" w:hAnsi="宋体" w:eastAsia="宋体"/>
          <w:b/>
          <w:sz w:val="24"/>
        </w:rPr>
        <w:t>（5）人力资源风险</w:t>
      </w:r>
    </w:p>
    <w:p w14:paraId="49F412DF">
      <w:pPr>
        <w:spacing w:line="360" w:lineRule="auto"/>
        <w:ind w:firstLine="420"/>
      </w:pPr>
      <w:r>
        <w:rPr>
          <w:rFonts w:ascii="宋体" w:hAnsi="宋体" w:eastAsia="宋体"/>
          <w:b w:val="0"/>
          <w:sz w:val="24"/>
        </w:rPr>
        <w:t>AI领域高端人才竞争激烈，字节跳动、深度求索（DeepSeek）、阿里巴巴等均在争夺顶级的AI研究和工程人才。腾讯虽然通过引进前OpenAI研究员姚顺雨等高端人才强化团队，但在薪酬竞争力（字节跳动AI岗薪酬涨幅显著）和学术研究氛围方面面临挑战。此外，2024年查处"高压线"案件100余起、解聘100余人的数据，也反映出内部人员管理的合规压力。</w:t>
      </w:r>
    </w:p>
    <w:p w14:paraId="62957699">
      <w:pPr>
        <w:pStyle w:val="3"/>
      </w:pPr>
      <w:bookmarkStart w:id="16" w:name="_Toc26784"/>
      <w:r>
        <w:rPr>
          <w:rFonts w:ascii="黑体" w:hAnsi="黑体" w:eastAsia="黑体"/>
          <w:sz w:val="32"/>
        </w:rPr>
        <w:t>4. 风险评估</w:t>
      </w:r>
      <w:bookmarkEnd w:id="16"/>
    </w:p>
    <w:p w14:paraId="2BD6F93E">
      <w:pPr>
        <w:pStyle w:val="4"/>
      </w:pPr>
      <w:bookmarkStart w:id="17" w:name="_Toc14940"/>
      <w:r>
        <w:rPr>
          <w:rFonts w:ascii="黑体" w:hAnsi="黑体" w:eastAsia="黑体"/>
          <w:sz w:val="28"/>
        </w:rPr>
        <w:t>4.1 风险评估方法论</w:t>
      </w:r>
      <w:bookmarkEnd w:id="17"/>
    </w:p>
    <w:p w14:paraId="18379CFE">
      <w:pPr>
        <w:spacing w:line="360" w:lineRule="auto"/>
      </w:pPr>
      <w:r>
        <w:rPr>
          <w:rFonts w:ascii="宋体" w:hAnsi="宋体" w:eastAsia="宋体"/>
          <w:b w:val="0"/>
          <w:sz w:val="24"/>
        </w:rPr>
        <w:t>本报告采用风险矩阵法（Risk Matrix），从风险发生的"可能性（Probability）"和"影响程度（Impact）"两个维度，对腾讯面临的主要风险进行评估与排序。评分标准如下：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4328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shd w:val="clear" w:color="auto" w:fill="D9E2F3"/>
          </w:tcPr>
          <w:p w14:paraId="6124510D">
            <w:pPr>
              <w:spacing w:after="0"/>
              <w:jc w:val="center"/>
            </w:pPr>
            <w:r>
              <w:rPr>
                <w:rFonts w:ascii="宋体" w:hAnsi="宋体" w:eastAsia="宋体"/>
                <w:b/>
                <w:sz w:val="20"/>
              </w:rPr>
              <w:t>评分</w:t>
            </w:r>
          </w:p>
        </w:tc>
        <w:tc>
          <w:tcPr>
            <w:tcW w:w="2878" w:type="dxa"/>
            <w:shd w:val="clear" w:color="auto" w:fill="D9E2F3"/>
          </w:tcPr>
          <w:p w14:paraId="758D66B7">
            <w:pPr>
              <w:spacing w:after="0"/>
              <w:jc w:val="center"/>
            </w:pPr>
            <w:r>
              <w:rPr>
                <w:rFonts w:ascii="宋体" w:hAnsi="宋体" w:eastAsia="宋体"/>
                <w:b/>
                <w:sz w:val="20"/>
              </w:rPr>
              <w:t>可能性（P）</w:t>
            </w:r>
          </w:p>
        </w:tc>
        <w:tc>
          <w:tcPr>
            <w:tcW w:w="2878" w:type="dxa"/>
            <w:shd w:val="clear" w:color="auto" w:fill="D9E2F3"/>
          </w:tcPr>
          <w:p w14:paraId="0DE275E1">
            <w:pPr>
              <w:spacing w:after="0"/>
              <w:jc w:val="center"/>
            </w:pPr>
            <w:r>
              <w:rPr>
                <w:rFonts w:ascii="宋体" w:hAnsi="宋体" w:eastAsia="宋体"/>
                <w:b/>
                <w:sz w:val="20"/>
              </w:rPr>
              <w:t>影响程度（I）</w:t>
            </w:r>
          </w:p>
        </w:tc>
      </w:tr>
      <w:tr w14:paraId="01316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814E6FA">
            <w:pPr>
              <w:spacing w:after="0"/>
              <w:jc w:val="center"/>
            </w:pPr>
            <w:r>
              <w:rPr>
                <w:rFonts w:ascii="宋体" w:hAnsi="宋体" w:eastAsia="宋体"/>
                <w:sz w:val="20"/>
              </w:rPr>
              <w:t>5</w:t>
            </w:r>
          </w:p>
        </w:tc>
        <w:tc>
          <w:tcPr>
            <w:tcW w:w="2878" w:type="dxa"/>
          </w:tcPr>
          <w:p w14:paraId="13CC6B5E">
            <w:pPr>
              <w:spacing w:after="0"/>
              <w:jc w:val="center"/>
            </w:pPr>
            <w:r>
              <w:rPr>
                <w:rFonts w:ascii="宋体" w:hAnsi="宋体" w:eastAsia="宋体"/>
                <w:sz w:val="20"/>
              </w:rPr>
              <w:t>极高：几乎确定发生（≥80%）</w:t>
            </w:r>
          </w:p>
        </w:tc>
        <w:tc>
          <w:tcPr>
            <w:tcW w:w="2878" w:type="dxa"/>
          </w:tcPr>
          <w:p w14:paraId="2EE18453">
            <w:pPr>
              <w:spacing w:after="0"/>
              <w:jc w:val="center"/>
            </w:pPr>
            <w:r>
              <w:rPr>
                <w:rFonts w:ascii="宋体" w:hAnsi="宋体" w:eastAsia="宋体"/>
                <w:sz w:val="20"/>
              </w:rPr>
              <w:t>极严重：威胁企业生存（市值波动&gt;30%）</w:t>
            </w:r>
          </w:p>
        </w:tc>
      </w:tr>
      <w:tr w14:paraId="4D95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05FA280">
            <w:pPr>
              <w:spacing w:after="0"/>
              <w:jc w:val="center"/>
            </w:pPr>
            <w:r>
              <w:rPr>
                <w:rFonts w:ascii="宋体" w:hAnsi="宋体" w:eastAsia="宋体"/>
                <w:sz w:val="20"/>
              </w:rPr>
              <w:t>4</w:t>
            </w:r>
          </w:p>
        </w:tc>
        <w:tc>
          <w:tcPr>
            <w:tcW w:w="2878" w:type="dxa"/>
          </w:tcPr>
          <w:p w14:paraId="45F20ABB">
            <w:pPr>
              <w:spacing w:after="0"/>
              <w:jc w:val="center"/>
            </w:pPr>
            <w:r>
              <w:rPr>
                <w:rFonts w:ascii="宋体" w:hAnsi="宋体" w:eastAsia="宋体"/>
                <w:sz w:val="20"/>
              </w:rPr>
              <w:t>高：很可能发生（50%-80%）</w:t>
            </w:r>
          </w:p>
        </w:tc>
        <w:tc>
          <w:tcPr>
            <w:tcW w:w="2878" w:type="dxa"/>
          </w:tcPr>
          <w:p w14:paraId="2D2128AC">
            <w:pPr>
              <w:spacing w:after="0"/>
              <w:jc w:val="center"/>
            </w:pPr>
            <w:r>
              <w:rPr>
                <w:rFonts w:ascii="宋体" w:hAnsi="宋体" w:eastAsia="宋体"/>
                <w:sz w:val="20"/>
              </w:rPr>
              <w:t>严重：显著影响经营（市值波动15%-30%）</w:t>
            </w:r>
          </w:p>
        </w:tc>
      </w:tr>
      <w:tr w14:paraId="2BCF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B4441D0">
            <w:pPr>
              <w:spacing w:after="0"/>
              <w:jc w:val="center"/>
            </w:pPr>
            <w:r>
              <w:rPr>
                <w:rFonts w:ascii="宋体" w:hAnsi="宋体" w:eastAsia="宋体"/>
                <w:sz w:val="20"/>
              </w:rPr>
              <w:t>3</w:t>
            </w:r>
          </w:p>
        </w:tc>
        <w:tc>
          <w:tcPr>
            <w:tcW w:w="2878" w:type="dxa"/>
          </w:tcPr>
          <w:p w14:paraId="41B9D6B1">
            <w:pPr>
              <w:spacing w:after="0"/>
              <w:jc w:val="center"/>
            </w:pPr>
            <w:r>
              <w:rPr>
                <w:rFonts w:ascii="宋体" w:hAnsi="宋体" w:eastAsia="宋体"/>
                <w:sz w:val="20"/>
              </w:rPr>
              <w:t>中：可能发生（20%-50%）</w:t>
            </w:r>
          </w:p>
        </w:tc>
        <w:tc>
          <w:tcPr>
            <w:tcW w:w="2878" w:type="dxa"/>
          </w:tcPr>
          <w:p w14:paraId="72B92803">
            <w:pPr>
              <w:spacing w:after="0"/>
              <w:jc w:val="center"/>
            </w:pPr>
            <w:r>
              <w:rPr>
                <w:rFonts w:ascii="宋体" w:hAnsi="宋体" w:eastAsia="宋体"/>
                <w:sz w:val="20"/>
              </w:rPr>
              <w:t>中等：有一定影响（市值波动5%-15%）</w:t>
            </w:r>
          </w:p>
        </w:tc>
      </w:tr>
      <w:tr w14:paraId="2206D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154542B">
            <w:pPr>
              <w:spacing w:after="0"/>
              <w:jc w:val="center"/>
            </w:pPr>
            <w:r>
              <w:rPr>
                <w:rFonts w:ascii="宋体" w:hAnsi="宋体" w:eastAsia="宋体"/>
                <w:sz w:val="20"/>
              </w:rPr>
              <w:t>2</w:t>
            </w:r>
          </w:p>
        </w:tc>
        <w:tc>
          <w:tcPr>
            <w:tcW w:w="2878" w:type="dxa"/>
          </w:tcPr>
          <w:p w14:paraId="7DE63943">
            <w:pPr>
              <w:spacing w:after="0"/>
              <w:jc w:val="center"/>
            </w:pPr>
            <w:r>
              <w:rPr>
                <w:rFonts w:ascii="宋体" w:hAnsi="宋体" w:eastAsia="宋体"/>
                <w:sz w:val="20"/>
              </w:rPr>
              <w:t>低：不太可能发生（5%-20%）</w:t>
            </w:r>
          </w:p>
        </w:tc>
        <w:tc>
          <w:tcPr>
            <w:tcW w:w="2878" w:type="dxa"/>
          </w:tcPr>
          <w:p w14:paraId="64B073DC">
            <w:pPr>
              <w:spacing w:after="0"/>
              <w:jc w:val="center"/>
            </w:pPr>
            <w:r>
              <w:rPr>
                <w:rFonts w:ascii="宋体" w:hAnsi="宋体" w:eastAsia="宋体"/>
                <w:sz w:val="20"/>
              </w:rPr>
              <w:t>轻微：影响有限（市值波动&lt;5%）</w:t>
            </w:r>
          </w:p>
        </w:tc>
      </w:tr>
      <w:tr w14:paraId="27B6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97771C8">
            <w:pPr>
              <w:spacing w:after="0"/>
              <w:jc w:val="center"/>
            </w:pPr>
            <w:r>
              <w:rPr>
                <w:rFonts w:ascii="宋体" w:hAnsi="宋体" w:eastAsia="宋体"/>
                <w:sz w:val="20"/>
              </w:rPr>
              <w:t>1</w:t>
            </w:r>
          </w:p>
        </w:tc>
        <w:tc>
          <w:tcPr>
            <w:tcW w:w="2878" w:type="dxa"/>
          </w:tcPr>
          <w:p w14:paraId="7BC39BE1">
            <w:pPr>
              <w:spacing w:after="0"/>
              <w:jc w:val="center"/>
            </w:pPr>
            <w:r>
              <w:rPr>
                <w:rFonts w:ascii="宋体" w:hAnsi="宋体" w:eastAsia="宋体"/>
                <w:sz w:val="20"/>
              </w:rPr>
              <w:t>极低：几乎不会发生（&lt;5%）</w:t>
            </w:r>
          </w:p>
        </w:tc>
        <w:tc>
          <w:tcPr>
            <w:tcW w:w="2878" w:type="dxa"/>
          </w:tcPr>
          <w:p w14:paraId="07460ECD">
            <w:pPr>
              <w:spacing w:after="0"/>
              <w:jc w:val="center"/>
            </w:pPr>
            <w:r>
              <w:rPr>
                <w:rFonts w:ascii="宋体" w:hAnsi="宋体" w:eastAsia="宋体"/>
                <w:sz w:val="20"/>
              </w:rPr>
              <w:t>极小：可忽略</w:t>
            </w:r>
          </w:p>
        </w:tc>
      </w:tr>
    </w:tbl>
    <w:p w14:paraId="77957382"/>
    <w:p w14:paraId="0D3755E7">
      <w:pPr>
        <w:spacing w:line="360" w:lineRule="auto"/>
      </w:pPr>
      <w:r>
        <w:rPr>
          <w:rFonts w:ascii="宋体" w:hAnsi="宋体" w:eastAsia="宋体"/>
          <w:b w:val="0"/>
          <w:sz w:val="24"/>
        </w:rPr>
        <w:t>风险等级 = 可能性（P）× 影响程度（I）。得分≥15为"重大风险"（红色区域），10-14为"高度关注风险"（橙色区域），5-9为"一般风险"（黄色区域），&lt;5为"低风险"（绿色区域）。</w:t>
      </w:r>
    </w:p>
    <w:p w14:paraId="539C5E23">
      <w:pPr>
        <w:pStyle w:val="4"/>
      </w:pPr>
      <w:bookmarkStart w:id="18" w:name="_Toc15441"/>
      <w:r>
        <w:rPr>
          <w:rFonts w:ascii="黑体" w:hAnsi="黑体" w:eastAsia="黑体"/>
          <w:sz w:val="28"/>
        </w:rPr>
        <w:t>4.2 风险矩阵总览</w:t>
      </w:r>
      <w:bookmarkEnd w:id="18"/>
    </w:p>
    <w:p w14:paraId="78416337">
      <w:pPr>
        <w:spacing w:line="360" w:lineRule="auto"/>
      </w:pPr>
      <w:r>
        <w:rPr>
          <w:rFonts w:ascii="宋体" w:hAnsi="宋体" w:eastAsia="宋体"/>
          <w:b/>
          <w:sz w:val="24"/>
        </w:rPr>
        <w:t>表4-1：腾讯主要风险矩阵评估表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3"/>
        <w:gridCol w:w="1233"/>
        <w:gridCol w:w="1233"/>
        <w:gridCol w:w="1233"/>
        <w:gridCol w:w="1233"/>
        <w:gridCol w:w="1233"/>
        <w:gridCol w:w="1233"/>
      </w:tblGrid>
      <w:tr w14:paraId="6363E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shd w:val="clear" w:color="auto" w:fill="D9E2F3"/>
          </w:tcPr>
          <w:p w14:paraId="02FB9AE8">
            <w:pPr>
              <w:spacing w:after="0"/>
              <w:jc w:val="center"/>
            </w:pPr>
            <w:r>
              <w:rPr>
                <w:rFonts w:ascii="宋体" w:hAnsi="宋体" w:eastAsia="宋体"/>
                <w:b/>
                <w:sz w:val="20"/>
              </w:rPr>
              <w:t>风险编号</w:t>
            </w:r>
          </w:p>
        </w:tc>
        <w:tc>
          <w:tcPr>
            <w:tcW w:w="1233" w:type="dxa"/>
            <w:shd w:val="clear" w:color="auto" w:fill="D9E2F3"/>
          </w:tcPr>
          <w:p w14:paraId="439B179F">
            <w:pPr>
              <w:spacing w:after="0"/>
              <w:jc w:val="center"/>
            </w:pPr>
            <w:r>
              <w:rPr>
                <w:rFonts w:ascii="宋体" w:hAnsi="宋体" w:eastAsia="宋体"/>
                <w:b/>
                <w:sz w:val="20"/>
              </w:rPr>
              <w:t>风险类别</w:t>
            </w:r>
          </w:p>
        </w:tc>
        <w:tc>
          <w:tcPr>
            <w:tcW w:w="1233" w:type="dxa"/>
            <w:shd w:val="clear" w:color="auto" w:fill="D9E2F3"/>
          </w:tcPr>
          <w:p w14:paraId="0982A3C4">
            <w:pPr>
              <w:spacing w:after="0"/>
              <w:jc w:val="center"/>
            </w:pPr>
            <w:r>
              <w:rPr>
                <w:rFonts w:ascii="宋体" w:hAnsi="宋体" w:eastAsia="宋体"/>
                <w:b/>
                <w:sz w:val="20"/>
              </w:rPr>
              <w:t>风险描述（摘要）</w:t>
            </w:r>
          </w:p>
        </w:tc>
        <w:tc>
          <w:tcPr>
            <w:tcW w:w="1233" w:type="dxa"/>
            <w:shd w:val="clear" w:color="auto" w:fill="D9E2F3"/>
          </w:tcPr>
          <w:p w14:paraId="0C4DC098">
            <w:pPr>
              <w:spacing w:after="0"/>
              <w:jc w:val="center"/>
            </w:pPr>
            <w:r>
              <w:rPr>
                <w:rFonts w:ascii="宋体" w:hAnsi="宋体" w:eastAsia="宋体"/>
                <w:b/>
                <w:sz w:val="20"/>
              </w:rPr>
              <w:t>可能性P</w:t>
            </w:r>
          </w:p>
        </w:tc>
        <w:tc>
          <w:tcPr>
            <w:tcW w:w="1233" w:type="dxa"/>
            <w:shd w:val="clear" w:color="auto" w:fill="D9E2F3"/>
          </w:tcPr>
          <w:p w14:paraId="6F12C561">
            <w:pPr>
              <w:spacing w:after="0"/>
              <w:jc w:val="center"/>
            </w:pPr>
            <w:r>
              <w:rPr>
                <w:rFonts w:ascii="宋体" w:hAnsi="宋体" w:eastAsia="宋体"/>
                <w:b/>
                <w:sz w:val="20"/>
              </w:rPr>
              <w:t>影响I</w:t>
            </w:r>
          </w:p>
        </w:tc>
        <w:tc>
          <w:tcPr>
            <w:tcW w:w="1233" w:type="dxa"/>
            <w:shd w:val="clear" w:color="auto" w:fill="D9E2F3"/>
          </w:tcPr>
          <w:p w14:paraId="18ACED36">
            <w:pPr>
              <w:spacing w:after="0"/>
              <w:jc w:val="center"/>
            </w:pPr>
            <w:r>
              <w:rPr>
                <w:rFonts w:ascii="宋体" w:hAnsi="宋体" w:eastAsia="宋体"/>
                <w:b/>
                <w:sz w:val="20"/>
              </w:rPr>
              <w:t>风险等级R</w:t>
            </w:r>
          </w:p>
        </w:tc>
        <w:tc>
          <w:tcPr>
            <w:tcW w:w="1233" w:type="dxa"/>
            <w:shd w:val="clear" w:color="auto" w:fill="D9E2F3"/>
          </w:tcPr>
          <w:p w14:paraId="04DAA4E0">
            <w:pPr>
              <w:spacing w:after="0"/>
              <w:jc w:val="center"/>
            </w:pPr>
            <w:r>
              <w:rPr>
                <w:rFonts w:ascii="宋体" w:hAnsi="宋体" w:eastAsia="宋体"/>
                <w:b/>
                <w:sz w:val="20"/>
              </w:rPr>
              <w:t>等级</w:t>
            </w:r>
          </w:p>
        </w:tc>
      </w:tr>
      <w:tr w14:paraId="00334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608FA2B7">
            <w:pPr>
              <w:spacing w:after="0"/>
              <w:jc w:val="center"/>
            </w:pPr>
            <w:r>
              <w:rPr>
                <w:rFonts w:ascii="宋体" w:hAnsi="宋体" w:eastAsia="宋体"/>
                <w:sz w:val="20"/>
              </w:rPr>
              <w:t>R1</w:t>
            </w:r>
          </w:p>
        </w:tc>
        <w:tc>
          <w:tcPr>
            <w:tcW w:w="1233" w:type="dxa"/>
          </w:tcPr>
          <w:p w14:paraId="07D8BA0A">
            <w:pPr>
              <w:spacing w:after="0"/>
              <w:jc w:val="center"/>
            </w:pPr>
            <w:r>
              <w:rPr>
                <w:rFonts w:ascii="宋体" w:hAnsi="宋体" w:eastAsia="宋体"/>
                <w:sz w:val="20"/>
              </w:rPr>
              <w:t>监管与政策风险</w:t>
            </w:r>
          </w:p>
        </w:tc>
        <w:tc>
          <w:tcPr>
            <w:tcW w:w="1233" w:type="dxa"/>
          </w:tcPr>
          <w:p w14:paraId="57CB2F30">
            <w:pPr>
              <w:spacing w:after="0"/>
              <w:jc w:val="center"/>
            </w:pPr>
            <w:r>
              <w:rPr>
                <w:rFonts w:ascii="宋体" w:hAnsi="宋体" w:eastAsia="宋体"/>
                <w:sz w:val="20"/>
              </w:rPr>
              <w:t>游戏监管、平台经济反垄断、算法治理等政策不确定性</w:t>
            </w:r>
          </w:p>
        </w:tc>
        <w:tc>
          <w:tcPr>
            <w:tcW w:w="1233" w:type="dxa"/>
          </w:tcPr>
          <w:p w14:paraId="5D0FF260">
            <w:pPr>
              <w:spacing w:after="0"/>
              <w:jc w:val="center"/>
            </w:pPr>
            <w:r>
              <w:rPr>
                <w:rFonts w:ascii="宋体" w:hAnsi="宋体" w:eastAsia="宋体"/>
                <w:sz w:val="20"/>
              </w:rPr>
              <w:t>4</w:t>
            </w:r>
          </w:p>
        </w:tc>
        <w:tc>
          <w:tcPr>
            <w:tcW w:w="1233" w:type="dxa"/>
          </w:tcPr>
          <w:p w14:paraId="11D5448D">
            <w:pPr>
              <w:spacing w:after="0"/>
              <w:jc w:val="center"/>
            </w:pPr>
            <w:r>
              <w:rPr>
                <w:rFonts w:ascii="宋体" w:hAnsi="宋体" w:eastAsia="宋体"/>
                <w:sz w:val="20"/>
              </w:rPr>
              <w:t>4</w:t>
            </w:r>
          </w:p>
        </w:tc>
        <w:tc>
          <w:tcPr>
            <w:tcW w:w="1233" w:type="dxa"/>
          </w:tcPr>
          <w:p w14:paraId="575A2344">
            <w:pPr>
              <w:spacing w:after="0"/>
              <w:jc w:val="center"/>
            </w:pPr>
            <w:r>
              <w:rPr>
                <w:rFonts w:ascii="宋体" w:hAnsi="宋体" w:eastAsia="宋体"/>
                <w:sz w:val="20"/>
              </w:rPr>
              <w:t>16</w:t>
            </w:r>
          </w:p>
        </w:tc>
        <w:tc>
          <w:tcPr>
            <w:tcW w:w="1233" w:type="dxa"/>
          </w:tcPr>
          <w:p w14:paraId="3F5D9786">
            <w:pPr>
              <w:spacing w:after="0"/>
              <w:jc w:val="center"/>
            </w:pPr>
            <w:r>
              <w:rPr>
                <w:rFonts w:ascii="宋体" w:hAnsi="宋体" w:eastAsia="宋体"/>
                <w:sz w:val="20"/>
              </w:rPr>
              <w:t>重大</w:t>
            </w:r>
          </w:p>
        </w:tc>
      </w:tr>
      <w:tr w14:paraId="66F3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45C9671E">
            <w:pPr>
              <w:spacing w:after="0"/>
              <w:jc w:val="center"/>
            </w:pPr>
            <w:r>
              <w:rPr>
                <w:rFonts w:ascii="宋体" w:hAnsi="宋体" w:eastAsia="宋体"/>
                <w:sz w:val="20"/>
              </w:rPr>
              <w:t>R2</w:t>
            </w:r>
          </w:p>
        </w:tc>
        <w:tc>
          <w:tcPr>
            <w:tcW w:w="1233" w:type="dxa"/>
          </w:tcPr>
          <w:p w14:paraId="492F4B64">
            <w:pPr>
              <w:spacing w:after="0"/>
              <w:jc w:val="center"/>
            </w:pPr>
            <w:r>
              <w:rPr>
                <w:rFonts w:ascii="宋体" w:hAnsi="宋体" w:eastAsia="宋体"/>
                <w:sz w:val="20"/>
              </w:rPr>
              <w:t>行业竞争风险</w:t>
            </w:r>
          </w:p>
        </w:tc>
        <w:tc>
          <w:tcPr>
            <w:tcW w:w="1233" w:type="dxa"/>
          </w:tcPr>
          <w:p w14:paraId="0CEACB82">
            <w:pPr>
              <w:spacing w:after="0"/>
              <w:jc w:val="center"/>
            </w:pPr>
            <w:r>
              <w:rPr>
                <w:rFonts w:ascii="宋体" w:hAnsi="宋体" w:eastAsia="宋体"/>
                <w:sz w:val="20"/>
              </w:rPr>
              <w:t>字节跳动在流量时长、AI应用及盈利能力上全面超越</w:t>
            </w:r>
          </w:p>
        </w:tc>
        <w:tc>
          <w:tcPr>
            <w:tcW w:w="1233" w:type="dxa"/>
          </w:tcPr>
          <w:p w14:paraId="7BA1C384">
            <w:pPr>
              <w:spacing w:after="0"/>
              <w:jc w:val="center"/>
            </w:pPr>
            <w:r>
              <w:rPr>
                <w:rFonts w:ascii="宋体" w:hAnsi="宋体" w:eastAsia="宋体"/>
                <w:sz w:val="20"/>
              </w:rPr>
              <w:t>4</w:t>
            </w:r>
          </w:p>
        </w:tc>
        <w:tc>
          <w:tcPr>
            <w:tcW w:w="1233" w:type="dxa"/>
          </w:tcPr>
          <w:p w14:paraId="5E96AF75">
            <w:pPr>
              <w:spacing w:after="0"/>
              <w:jc w:val="center"/>
            </w:pPr>
            <w:r>
              <w:rPr>
                <w:rFonts w:ascii="宋体" w:hAnsi="宋体" w:eastAsia="宋体"/>
                <w:sz w:val="20"/>
              </w:rPr>
              <w:t>4</w:t>
            </w:r>
          </w:p>
        </w:tc>
        <w:tc>
          <w:tcPr>
            <w:tcW w:w="1233" w:type="dxa"/>
          </w:tcPr>
          <w:p w14:paraId="4E1946D3">
            <w:pPr>
              <w:spacing w:after="0"/>
              <w:jc w:val="center"/>
            </w:pPr>
            <w:r>
              <w:rPr>
                <w:rFonts w:ascii="宋体" w:hAnsi="宋体" w:eastAsia="宋体"/>
                <w:sz w:val="20"/>
              </w:rPr>
              <w:t>16</w:t>
            </w:r>
          </w:p>
        </w:tc>
        <w:tc>
          <w:tcPr>
            <w:tcW w:w="1233" w:type="dxa"/>
          </w:tcPr>
          <w:p w14:paraId="016EF516">
            <w:pPr>
              <w:spacing w:after="0"/>
              <w:jc w:val="center"/>
            </w:pPr>
            <w:r>
              <w:rPr>
                <w:rFonts w:ascii="宋体" w:hAnsi="宋体" w:eastAsia="宋体"/>
                <w:sz w:val="20"/>
              </w:rPr>
              <w:t>重大</w:t>
            </w:r>
          </w:p>
        </w:tc>
      </w:tr>
      <w:tr w14:paraId="03BE8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16025CFC">
            <w:pPr>
              <w:spacing w:after="0"/>
              <w:jc w:val="center"/>
            </w:pPr>
            <w:r>
              <w:rPr>
                <w:rFonts w:ascii="宋体" w:hAnsi="宋体" w:eastAsia="宋体"/>
                <w:sz w:val="20"/>
              </w:rPr>
              <w:t>R3</w:t>
            </w:r>
          </w:p>
        </w:tc>
        <w:tc>
          <w:tcPr>
            <w:tcW w:w="1233" w:type="dxa"/>
          </w:tcPr>
          <w:p w14:paraId="387D7A69">
            <w:pPr>
              <w:spacing w:after="0"/>
              <w:jc w:val="center"/>
            </w:pPr>
            <w:r>
              <w:rPr>
                <w:rFonts w:ascii="宋体" w:hAnsi="宋体" w:eastAsia="宋体"/>
                <w:sz w:val="20"/>
              </w:rPr>
              <w:t>地缘政治/制裁风险</w:t>
            </w:r>
          </w:p>
        </w:tc>
        <w:tc>
          <w:tcPr>
            <w:tcW w:w="1233" w:type="dxa"/>
          </w:tcPr>
          <w:p w14:paraId="185DB123">
            <w:pPr>
              <w:spacing w:after="0"/>
              <w:jc w:val="center"/>
            </w:pPr>
            <w:r>
              <w:rPr>
                <w:rFonts w:ascii="宋体" w:hAnsi="宋体" w:eastAsia="宋体"/>
                <w:sz w:val="20"/>
              </w:rPr>
              <w:t>美国CMC清单及潜在升级为投资禁令的风险</w:t>
            </w:r>
          </w:p>
        </w:tc>
        <w:tc>
          <w:tcPr>
            <w:tcW w:w="1233" w:type="dxa"/>
          </w:tcPr>
          <w:p w14:paraId="3C58AA62">
            <w:pPr>
              <w:spacing w:after="0"/>
              <w:jc w:val="center"/>
            </w:pPr>
            <w:r>
              <w:rPr>
                <w:rFonts w:ascii="宋体" w:hAnsi="宋体" w:eastAsia="宋体"/>
                <w:sz w:val="20"/>
              </w:rPr>
              <w:t>3</w:t>
            </w:r>
          </w:p>
        </w:tc>
        <w:tc>
          <w:tcPr>
            <w:tcW w:w="1233" w:type="dxa"/>
          </w:tcPr>
          <w:p w14:paraId="09E3DE88">
            <w:pPr>
              <w:spacing w:after="0"/>
              <w:jc w:val="center"/>
            </w:pPr>
            <w:r>
              <w:rPr>
                <w:rFonts w:ascii="宋体" w:hAnsi="宋体" w:eastAsia="宋体"/>
                <w:sz w:val="20"/>
              </w:rPr>
              <w:t>5</w:t>
            </w:r>
          </w:p>
        </w:tc>
        <w:tc>
          <w:tcPr>
            <w:tcW w:w="1233" w:type="dxa"/>
          </w:tcPr>
          <w:p w14:paraId="26301302">
            <w:pPr>
              <w:spacing w:after="0"/>
              <w:jc w:val="center"/>
            </w:pPr>
            <w:r>
              <w:rPr>
                <w:rFonts w:ascii="宋体" w:hAnsi="宋体" w:eastAsia="宋体"/>
                <w:sz w:val="20"/>
              </w:rPr>
              <w:t>15</w:t>
            </w:r>
          </w:p>
        </w:tc>
        <w:tc>
          <w:tcPr>
            <w:tcW w:w="1233" w:type="dxa"/>
          </w:tcPr>
          <w:p w14:paraId="36992E71">
            <w:pPr>
              <w:spacing w:after="0"/>
              <w:jc w:val="center"/>
            </w:pPr>
            <w:r>
              <w:rPr>
                <w:rFonts w:ascii="宋体" w:hAnsi="宋体" w:eastAsia="宋体"/>
                <w:sz w:val="20"/>
              </w:rPr>
              <w:t>重大</w:t>
            </w:r>
          </w:p>
        </w:tc>
      </w:tr>
      <w:tr w14:paraId="3640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5E9DAEEF">
            <w:pPr>
              <w:spacing w:after="0"/>
              <w:jc w:val="center"/>
            </w:pPr>
            <w:r>
              <w:rPr>
                <w:rFonts w:ascii="宋体" w:hAnsi="宋体" w:eastAsia="宋体"/>
                <w:sz w:val="20"/>
              </w:rPr>
              <w:t>R4</w:t>
            </w:r>
          </w:p>
        </w:tc>
        <w:tc>
          <w:tcPr>
            <w:tcW w:w="1233" w:type="dxa"/>
          </w:tcPr>
          <w:p w14:paraId="39322DF6">
            <w:pPr>
              <w:spacing w:after="0"/>
              <w:jc w:val="center"/>
            </w:pPr>
            <w:r>
              <w:rPr>
                <w:rFonts w:ascii="宋体" w:hAnsi="宋体" w:eastAsia="宋体"/>
                <w:sz w:val="20"/>
              </w:rPr>
              <w:t>AI战略转型风险</w:t>
            </w:r>
          </w:p>
        </w:tc>
        <w:tc>
          <w:tcPr>
            <w:tcW w:w="1233" w:type="dxa"/>
          </w:tcPr>
          <w:p w14:paraId="7121D8B2">
            <w:pPr>
              <w:spacing w:after="0"/>
              <w:jc w:val="center"/>
            </w:pPr>
            <w:r>
              <w:rPr>
                <w:rFonts w:ascii="宋体" w:hAnsi="宋体" w:eastAsia="宋体"/>
                <w:sz w:val="20"/>
              </w:rPr>
              <w:t>AI资本投入不足、元宝产品竞争力落后、技术路线不确定性</w:t>
            </w:r>
          </w:p>
        </w:tc>
        <w:tc>
          <w:tcPr>
            <w:tcW w:w="1233" w:type="dxa"/>
          </w:tcPr>
          <w:p w14:paraId="1CC692E3">
            <w:pPr>
              <w:spacing w:after="0"/>
              <w:jc w:val="center"/>
            </w:pPr>
            <w:r>
              <w:rPr>
                <w:rFonts w:ascii="宋体" w:hAnsi="宋体" w:eastAsia="宋体"/>
                <w:sz w:val="20"/>
              </w:rPr>
              <w:t>3</w:t>
            </w:r>
          </w:p>
        </w:tc>
        <w:tc>
          <w:tcPr>
            <w:tcW w:w="1233" w:type="dxa"/>
          </w:tcPr>
          <w:p w14:paraId="60F2E5DC">
            <w:pPr>
              <w:spacing w:after="0"/>
              <w:jc w:val="center"/>
            </w:pPr>
            <w:r>
              <w:rPr>
                <w:rFonts w:ascii="宋体" w:hAnsi="宋体" w:eastAsia="宋体"/>
                <w:sz w:val="20"/>
              </w:rPr>
              <w:t>4</w:t>
            </w:r>
          </w:p>
        </w:tc>
        <w:tc>
          <w:tcPr>
            <w:tcW w:w="1233" w:type="dxa"/>
          </w:tcPr>
          <w:p w14:paraId="48FF2400">
            <w:pPr>
              <w:spacing w:after="0"/>
              <w:jc w:val="center"/>
            </w:pPr>
            <w:r>
              <w:rPr>
                <w:rFonts w:ascii="宋体" w:hAnsi="宋体" w:eastAsia="宋体"/>
                <w:sz w:val="20"/>
              </w:rPr>
              <w:t>12</w:t>
            </w:r>
          </w:p>
        </w:tc>
        <w:tc>
          <w:tcPr>
            <w:tcW w:w="1233" w:type="dxa"/>
          </w:tcPr>
          <w:p w14:paraId="7A082F56">
            <w:pPr>
              <w:spacing w:after="0"/>
              <w:jc w:val="center"/>
            </w:pPr>
            <w:r>
              <w:rPr>
                <w:rFonts w:ascii="宋体" w:hAnsi="宋体" w:eastAsia="宋体"/>
                <w:sz w:val="20"/>
              </w:rPr>
              <w:t>高度关注</w:t>
            </w:r>
          </w:p>
        </w:tc>
      </w:tr>
      <w:tr w14:paraId="325E3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36EE5BC4">
            <w:pPr>
              <w:spacing w:after="0"/>
              <w:jc w:val="center"/>
            </w:pPr>
            <w:r>
              <w:rPr>
                <w:rFonts w:ascii="宋体" w:hAnsi="宋体" w:eastAsia="宋体"/>
                <w:sz w:val="20"/>
              </w:rPr>
              <w:t>R5</w:t>
            </w:r>
          </w:p>
        </w:tc>
        <w:tc>
          <w:tcPr>
            <w:tcW w:w="1233" w:type="dxa"/>
          </w:tcPr>
          <w:p w14:paraId="56CA00F8">
            <w:pPr>
              <w:spacing w:after="0"/>
              <w:jc w:val="center"/>
            </w:pPr>
            <w:r>
              <w:rPr>
                <w:rFonts w:ascii="宋体" w:hAnsi="宋体" w:eastAsia="宋体"/>
                <w:sz w:val="20"/>
              </w:rPr>
              <w:t>游戏业务集中度风险</w:t>
            </w:r>
          </w:p>
        </w:tc>
        <w:tc>
          <w:tcPr>
            <w:tcW w:w="1233" w:type="dxa"/>
          </w:tcPr>
          <w:p w14:paraId="0B8D4892">
            <w:pPr>
              <w:spacing w:after="0"/>
              <w:jc w:val="center"/>
            </w:pPr>
            <w:r>
              <w:rPr>
                <w:rFonts w:ascii="宋体" w:hAnsi="宋体" w:eastAsia="宋体"/>
                <w:sz w:val="20"/>
              </w:rPr>
              <w:t>核心产品生命周期衰退、新游不及预期</w:t>
            </w:r>
          </w:p>
        </w:tc>
        <w:tc>
          <w:tcPr>
            <w:tcW w:w="1233" w:type="dxa"/>
          </w:tcPr>
          <w:p w14:paraId="3A181427">
            <w:pPr>
              <w:spacing w:after="0"/>
              <w:jc w:val="center"/>
            </w:pPr>
            <w:r>
              <w:rPr>
                <w:rFonts w:ascii="宋体" w:hAnsi="宋体" w:eastAsia="宋体"/>
                <w:sz w:val="20"/>
              </w:rPr>
              <w:t>3</w:t>
            </w:r>
          </w:p>
        </w:tc>
        <w:tc>
          <w:tcPr>
            <w:tcW w:w="1233" w:type="dxa"/>
          </w:tcPr>
          <w:p w14:paraId="004F4426">
            <w:pPr>
              <w:spacing w:after="0"/>
              <w:jc w:val="center"/>
            </w:pPr>
            <w:r>
              <w:rPr>
                <w:rFonts w:ascii="宋体" w:hAnsi="宋体" w:eastAsia="宋体"/>
                <w:sz w:val="20"/>
              </w:rPr>
              <w:t>3</w:t>
            </w:r>
          </w:p>
        </w:tc>
        <w:tc>
          <w:tcPr>
            <w:tcW w:w="1233" w:type="dxa"/>
          </w:tcPr>
          <w:p w14:paraId="26FC0FD1">
            <w:pPr>
              <w:spacing w:after="0"/>
              <w:jc w:val="center"/>
            </w:pPr>
            <w:r>
              <w:rPr>
                <w:rFonts w:ascii="宋体" w:hAnsi="宋体" w:eastAsia="宋体"/>
                <w:sz w:val="20"/>
              </w:rPr>
              <w:t>9</w:t>
            </w:r>
          </w:p>
        </w:tc>
        <w:tc>
          <w:tcPr>
            <w:tcW w:w="1233" w:type="dxa"/>
          </w:tcPr>
          <w:p w14:paraId="535C58B5">
            <w:pPr>
              <w:spacing w:after="0"/>
              <w:jc w:val="center"/>
            </w:pPr>
            <w:r>
              <w:rPr>
                <w:rFonts w:ascii="宋体" w:hAnsi="宋体" w:eastAsia="宋体"/>
                <w:sz w:val="20"/>
              </w:rPr>
              <w:t>一般</w:t>
            </w:r>
          </w:p>
        </w:tc>
      </w:tr>
      <w:tr w14:paraId="18A7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000DADBF">
            <w:pPr>
              <w:spacing w:after="0"/>
              <w:jc w:val="center"/>
            </w:pPr>
            <w:r>
              <w:rPr>
                <w:rFonts w:ascii="宋体" w:hAnsi="宋体" w:eastAsia="宋体"/>
                <w:sz w:val="20"/>
              </w:rPr>
              <w:t>R6</w:t>
            </w:r>
          </w:p>
        </w:tc>
        <w:tc>
          <w:tcPr>
            <w:tcW w:w="1233" w:type="dxa"/>
          </w:tcPr>
          <w:p w14:paraId="0233DD67">
            <w:pPr>
              <w:spacing w:after="0"/>
              <w:jc w:val="center"/>
            </w:pPr>
            <w:r>
              <w:rPr>
                <w:rFonts w:ascii="宋体" w:hAnsi="宋体" w:eastAsia="宋体"/>
                <w:sz w:val="20"/>
              </w:rPr>
              <w:t>数据安全与隐私风险</w:t>
            </w:r>
          </w:p>
        </w:tc>
        <w:tc>
          <w:tcPr>
            <w:tcW w:w="1233" w:type="dxa"/>
          </w:tcPr>
          <w:p w14:paraId="27A389BA">
            <w:pPr>
              <w:spacing w:after="0"/>
              <w:jc w:val="center"/>
            </w:pPr>
            <w:r>
              <w:rPr>
                <w:rFonts w:ascii="宋体" w:hAnsi="宋体" w:eastAsia="宋体"/>
                <w:sz w:val="20"/>
              </w:rPr>
              <w:t>算法透明度要求、用户数据保护、跨境数据合规</w:t>
            </w:r>
          </w:p>
        </w:tc>
        <w:tc>
          <w:tcPr>
            <w:tcW w:w="1233" w:type="dxa"/>
          </w:tcPr>
          <w:p w14:paraId="4D9B29C8">
            <w:pPr>
              <w:spacing w:after="0"/>
              <w:jc w:val="center"/>
            </w:pPr>
            <w:r>
              <w:rPr>
                <w:rFonts w:ascii="宋体" w:hAnsi="宋体" w:eastAsia="宋体"/>
                <w:sz w:val="20"/>
              </w:rPr>
              <w:t>4</w:t>
            </w:r>
          </w:p>
        </w:tc>
        <w:tc>
          <w:tcPr>
            <w:tcW w:w="1233" w:type="dxa"/>
          </w:tcPr>
          <w:p w14:paraId="177B75A4">
            <w:pPr>
              <w:spacing w:after="0"/>
              <w:jc w:val="center"/>
            </w:pPr>
            <w:r>
              <w:rPr>
                <w:rFonts w:ascii="宋体" w:hAnsi="宋体" w:eastAsia="宋体"/>
                <w:sz w:val="20"/>
              </w:rPr>
              <w:t>3</w:t>
            </w:r>
          </w:p>
        </w:tc>
        <w:tc>
          <w:tcPr>
            <w:tcW w:w="1233" w:type="dxa"/>
          </w:tcPr>
          <w:p w14:paraId="0600522A">
            <w:pPr>
              <w:spacing w:after="0"/>
              <w:jc w:val="center"/>
            </w:pPr>
            <w:r>
              <w:rPr>
                <w:rFonts w:ascii="宋体" w:hAnsi="宋体" w:eastAsia="宋体"/>
                <w:sz w:val="20"/>
              </w:rPr>
              <w:t>12</w:t>
            </w:r>
          </w:p>
        </w:tc>
        <w:tc>
          <w:tcPr>
            <w:tcW w:w="1233" w:type="dxa"/>
          </w:tcPr>
          <w:p w14:paraId="46C13597">
            <w:pPr>
              <w:spacing w:after="0"/>
              <w:jc w:val="center"/>
            </w:pPr>
            <w:r>
              <w:rPr>
                <w:rFonts w:ascii="宋体" w:hAnsi="宋体" w:eastAsia="宋体"/>
                <w:sz w:val="20"/>
              </w:rPr>
              <w:t>高度关注</w:t>
            </w:r>
          </w:p>
        </w:tc>
      </w:tr>
      <w:tr w14:paraId="15A1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4A4C973C">
            <w:pPr>
              <w:spacing w:after="0"/>
              <w:jc w:val="center"/>
            </w:pPr>
            <w:r>
              <w:rPr>
                <w:rFonts w:ascii="宋体" w:hAnsi="宋体" w:eastAsia="宋体"/>
                <w:sz w:val="20"/>
              </w:rPr>
              <w:t>R7</w:t>
            </w:r>
          </w:p>
        </w:tc>
        <w:tc>
          <w:tcPr>
            <w:tcW w:w="1233" w:type="dxa"/>
          </w:tcPr>
          <w:p w14:paraId="64587F79">
            <w:pPr>
              <w:spacing w:after="0"/>
              <w:jc w:val="center"/>
            </w:pPr>
            <w:r>
              <w:rPr>
                <w:rFonts w:ascii="宋体" w:hAnsi="宋体" w:eastAsia="宋体"/>
                <w:sz w:val="20"/>
              </w:rPr>
              <w:t>财务与投资风险</w:t>
            </w:r>
          </w:p>
        </w:tc>
        <w:tc>
          <w:tcPr>
            <w:tcW w:w="1233" w:type="dxa"/>
          </w:tcPr>
          <w:p w14:paraId="2DF2F6E5">
            <w:pPr>
              <w:spacing w:after="0"/>
              <w:jc w:val="center"/>
            </w:pPr>
            <w:r>
              <w:rPr>
                <w:rFonts w:ascii="宋体" w:hAnsi="宋体" w:eastAsia="宋体"/>
                <w:sz w:val="20"/>
              </w:rPr>
              <w:t>资本开支挤压现金流、投资组合波动、回购与AI投资矛盾</w:t>
            </w:r>
          </w:p>
        </w:tc>
        <w:tc>
          <w:tcPr>
            <w:tcW w:w="1233" w:type="dxa"/>
          </w:tcPr>
          <w:p w14:paraId="6F3B4CE1">
            <w:pPr>
              <w:spacing w:after="0"/>
              <w:jc w:val="center"/>
            </w:pPr>
            <w:r>
              <w:rPr>
                <w:rFonts w:ascii="宋体" w:hAnsi="宋体" w:eastAsia="宋体"/>
                <w:sz w:val="20"/>
              </w:rPr>
              <w:t>3</w:t>
            </w:r>
          </w:p>
        </w:tc>
        <w:tc>
          <w:tcPr>
            <w:tcW w:w="1233" w:type="dxa"/>
          </w:tcPr>
          <w:p w14:paraId="5BB7B4AD">
            <w:pPr>
              <w:spacing w:after="0"/>
              <w:jc w:val="center"/>
            </w:pPr>
            <w:r>
              <w:rPr>
                <w:rFonts w:ascii="宋体" w:hAnsi="宋体" w:eastAsia="宋体"/>
                <w:sz w:val="20"/>
              </w:rPr>
              <w:t>3</w:t>
            </w:r>
          </w:p>
        </w:tc>
        <w:tc>
          <w:tcPr>
            <w:tcW w:w="1233" w:type="dxa"/>
          </w:tcPr>
          <w:p w14:paraId="02BD8431">
            <w:pPr>
              <w:spacing w:after="0"/>
              <w:jc w:val="center"/>
            </w:pPr>
            <w:r>
              <w:rPr>
                <w:rFonts w:ascii="宋体" w:hAnsi="宋体" w:eastAsia="宋体"/>
                <w:sz w:val="20"/>
              </w:rPr>
              <w:t>9</w:t>
            </w:r>
          </w:p>
        </w:tc>
        <w:tc>
          <w:tcPr>
            <w:tcW w:w="1233" w:type="dxa"/>
          </w:tcPr>
          <w:p w14:paraId="65091AA4">
            <w:pPr>
              <w:spacing w:after="0"/>
              <w:jc w:val="center"/>
            </w:pPr>
            <w:r>
              <w:rPr>
                <w:rFonts w:ascii="宋体" w:hAnsi="宋体" w:eastAsia="宋体"/>
                <w:sz w:val="20"/>
              </w:rPr>
              <w:t>一般</w:t>
            </w:r>
          </w:p>
        </w:tc>
      </w:tr>
      <w:tr w14:paraId="1006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3" w:type="dxa"/>
          </w:tcPr>
          <w:p w14:paraId="3B3D2153">
            <w:pPr>
              <w:spacing w:after="0"/>
              <w:jc w:val="center"/>
            </w:pPr>
            <w:r>
              <w:rPr>
                <w:rFonts w:ascii="宋体" w:hAnsi="宋体" w:eastAsia="宋体"/>
                <w:sz w:val="20"/>
              </w:rPr>
              <w:t>R8</w:t>
            </w:r>
          </w:p>
        </w:tc>
        <w:tc>
          <w:tcPr>
            <w:tcW w:w="1233" w:type="dxa"/>
          </w:tcPr>
          <w:p w14:paraId="4E02CBDA">
            <w:pPr>
              <w:spacing w:after="0"/>
              <w:jc w:val="center"/>
            </w:pPr>
            <w:r>
              <w:rPr>
                <w:rFonts w:ascii="宋体" w:hAnsi="宋体" w:eastAsia="宋体"/>
                <w:sz w:val="20"/>
              </w:rPr>
              <w:t>人力资源风险</w:t>
            </w:r>
          </w:p>
        </w:tc>
        <w:tc>
          <w:tcPr>
            <w:tcW w:w="1233" w:type="dxa"/>
          </w:tcPr>
          <w:p w14:paraId="221FC971">
            <w:pPr>
              <w:spacing w:after="0"/>
              <w:jc w:val="center"/>
            </w:pPr>
            <w:r>
              <w:rPr>
                <w:rFonts w:ascii="宋体" w:hAnsi="宋体" w:eastAsia="宋体"/>
                <w:sz w:val="20"/>
              </w:rPr>
              <w:t>AI人才竞争加剧、关键人员流失</w:t>
            </w:r>
          </w:p>
        </w:tc>
        <w:tc>
          <w:tcPr>
            <w:tcW w:w="1233" w:type="dxa"/>
          </w:tcPr>
          <w:p w14:paraId="465CD484">
            <w:pPr>
              <w:spacing w:after="0"/>
              <w:jc w:val="center"/>
            </w:pPr>
            <w:r>
              <w:rPr>
                <w:rFonts w:ascii="宋体" w:hAnsi="宋体" w:eastAsia="宋体"/>
                <w:sz w:val="20"/>
              </w:rPr>
              <w:t>3</w:t>
            </w:r>
          </w:p>
        </w:tc>
        <w:tc>
          <w:tcPr>
            <w:tcW w:w="1233" w:type="dxa"/>
          </w:tcPr>
          <w:p w14:paraId="2AEAD288">
            <w:pPr>
              <w:spacing w:after="0"/>
              <w:jc w:val="center"/>
            </w:pPr>
            <w:r>
              <w:rPr>
                <w:rFonts w:ascii="宋体" w:hAnsi="宋体" w:eastAsia="宋体"/>
                <w:sz w:val="20"/>
              </w:rPr>
              <w:t>2</w:t>
            </w:r>
          </w:p>
        </w:tc>
        <w:tc>
          <w:tcPr>
            <w:tcW w:w="1233" w:type="dxa"/>
          </w:tcPr>
          <w:p w14:paraId="57221E73">
            <w:pPr>
              <w:spacing w:after="0"/>
              <w:jc w:val="center"/>
            </w:pPr>
            <w:r>
              <w:rPr>
                <w:rFonts w:ascii="宋体" w:hAnsi="宋体" w:eastAsia="宋体"/>
                <w:sz w:val="20"/>
              </w:rPr>
              <w:t>6</w:t>
            </w:r>
          </w:p>
        </w:tc>
        <w:tc>
          <w:tcPr>
            <w:tcW w:w="1233" w:type="dxa"/>
          </w:tcPr>
          <w:p w14:paraId="30E0738D">
            <w:pPr>
              <w:spacing w:after="0"/>
              <w:jc w:val="center"/>
            </w:pPr>
            <w:r>
              <w:rPr>
                <w:rFonts w:ascii="宋体" w:hAnsi="宋体" w:eastAsia="宋体"/>
                <w:sz w:val="20"/>
              </w:rPr>
              <w:t>一般</w:t>
            </w:r>
          </w:p>
        </w:tc>
      </w:tr>
    </w:tbl>
    <w:p w14:paraId="2036583D"/>
    <w:p w14:paraId="2985E050">
      <w:pPr>
        <w:spacing w:line="360" w:lineRule="auto"/>
      </w:pPr>
      <w:r>
        <w:rPr>
          <w:rFonts w:ascii="宋体" w:hAnsi="宋体" w:eastAsia="宋体"/>
          <w:b w:val="0"/>
          <w:sz w:val="24"/>
        </w:rPr>
        <w:t>图4-1：腾讯风险矩阵图（示意）</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影响程度(I)</w:t>
      </w:r>
      <w:r>
        <w:rPr>
          <w:rFonts w:ascii="宋体" w:hAnsi="宋体" w:eastAsia="宋体"/>
          <w:b w:val="0"/>
          <w:sz w:val="24"/>
        </w:rPr>
        <w:br w:type="textWrapping"/>
      </w:r>
      <w:r>
        <w:rPr>
          <w:rFonts w:ascii="宋体" w:hAnsi="宋体" w:eastAsia="宋体"/>
          <w:b w:val="0"/>
          <w:sz w:val="24"/>
        </w:rPr>
        <w:t xml:space="preserve">  5 │                      R3(15) ★</w:t>
      </w:r>
      <w:r>
        <w:rPr>
          <w:rFonts w:ascii="宋体" w:hAnsi="宋体" w:eastAsia="宋体"/>
          <w:b w:val="0"/>
          <w:sz w:val="24"/>
        </w:rPr>
        <w:br w:type="textWrapping"/>
      </w:r>
      <w:r>
        <w:rPr>
          <w:rFonts w:ascii="宋体" w:hAnsi="宋体" w:eastAsia="宋体"/>
          <w:b w:val="0"/>
          <w:sz w:val="24"/>
        </w:rPr>
        <w:t xml:space="preserve">    │</w:t>
      </w:r>
      <w:r>
        <w:rPr>
          <w:rFonts w:ascii="宋体" w:hAnsi="宋体" w:eastAsia="宋体"/>
          <w:b w:val="0"/>
          <w:sz w:val="24"/>
        </w:rPr>
        <w:br w:type="textWrapping"/>
      </w:r>
      <w:r>
        <w:rPr>
          <w:rFonts w:ascii="宋体" w:hAnsi="宋体" w:eastAsia="宋体"/>
          <w:b w:val="0"/>
          <w:sz w:val="24"/>
        </w:rPr>
        <w:t xml:space="preserve">  4 │      R6(12)          R1(16) ★   R2(16) ★</w:t>
      </w:r>
      <w:r>
        <w:rPr>
          <w:rFonts w:ascii="宋体" w:hAnsi="宋体" w:eastAsia="宋体"/>
          <w:b w:val="0"/>
          <w:sz w:val="24"/>
        </w:rPr>
        <w:br w:type="textWrapping"/>
      </w:r>
      <w:r>
        <w:rPr>
          <w:rFonts w:ascii="宋体" w:hAnsi="宋体" w:eastAsia="宋体"/>
          <w:b w:val="0"/>
          <w:sz w:val="24"/>
        </w:rPr>
        <w:t xml:space="preserve">    │</w:t>
      </w:r>
      <w:r>
        <w:rPr>
          <w:rFonts w:ascii="宋体" w:hAnsi="宋体" w:eastAsia="宋体"/>
          <w:b w:val="0"/>
          <w:sz w:val="24"/>
        </w:rPr>
        <w:br w:type="textWrapping"/>
      </w:r>
      <w:r>
        <w:rPr>
          <w:rFonts w:ascii="宋体" w:hAnsi="宋体" w:eastAsia="宋体"/>
          <w:b w:val="0"/>
          <w:sz w:val="24"/>
        </w:rPr>
        <w:t xml:space="preserve">  3 │      R5(9)   R7(9)              R4(12)</w:t>
      </w:r>
      <w:r>
        <w:rPr>
          <w:rFonts w:ascii="宋体" w:hAnsi="宋体" w:eastAsia="宋体"/>
          <w:b w:val="0"/>
          <w:sz w:val="24"/>
        </w:rPr>
        <w:br w:type="textWrapping"/>
      </w:r>
      <w:r>
        <w:rPr>
          <w:rFonts w:ascii="宋体" w:hAnsi="宋体" w:eastAsia="宋体"/>
          <w:b w:val="0"/>
          <w:sz w:val="24"/>
        </w:rPr>
        <w:t xml:space="preserve">    │</w:t>
      </w:r>
      <w:r>
        <w:rPr>
          <w:rFonts w:ascii="宋体" w:hAnsi="宋体" w:eastAsia="宋体"/>
          <w:b w:val="0"/>
          <w:sz w:val="24"/>
        </w:rPr>
        <w:br w:type="textWrapping"/>
      </w:r>
      <w:r>
        <w:rPr>
          <w:rFonts w:ascii="宋体" w:hAnsi="宋体" w:eastAsia="宋体"/>
          <w:b w:val="0"/>
          <w:sz w:val="24"/>
        </w:rPr>
        <w:t xml:space="preserve">  2 │                      R8(6)</w:t>
      </w:r>
      <w:r>
        <w:rPr>
          <w:rFonts w:ascii="宋体" w:hAnsi="宋体" w:eastAsia="宋体"/>
          <w:b w:val="0"/>
          <w:sz w:val="24"/>
        </w:rPr>
        <w:br w:type="textWrapping"/>
      </w:r>
      <w:r>
        <w:rPr>
          <w:rFonts w:ascii="宋体" w:hAnsi="宋体" w:eastAsia="宋体"/>
          <w:b w:val="0"/>
          <w:sz w:val="24"/>
        </w:rPr>
        <w:t xml:space="preserve">    │</w:t>
      </w:r>
      <w:r>
        <w:rPr>
          <w:rFonts w:ascii="宋体" w:hAnsi="宋体" w:eastAsia="宋体"/>
          <w:b w:val="0"/>
          <w:sz w:val="24"/>
        </w:rPr>
        <w:br w:type="textWrapping"/>
      </w:r>
      <w:r>
        <w:rPr>
          <w:rFonts w:ascii="宋体" w:hAnsi="宋体" w:eastAsia="宋体"/>
          <w:b w:val="0"/>
          <w:sz w:val="24"/>
        </w:rPr>
        <w:t xml:space="preserve">  1 │</w:t>
      </w:r>
      <w:r>
        <w:rPr>
          <w:rFonts w:ascii="宋体" w:hAnsi="宋体" w:eastAsia="宋体"/>
          <w:b w:val="0"/>
          <w:sz w:val="24"/>
        </w:rPr>
        <w:br w:type="textWrapping"/>
      </w:r>
      <w:r>
        <w:rPr>
          <w:rFonts w:ascii="宋体" w:hAnsi="宋体" w:eastAsia="宋体"/>
          <w:b w:val="0"/>
          <w:sz w:val="24"/>
        </w:rPr>
        <w:t xml:space="preserve">    └──────────────────────────────────────────</w:t>
      </w:r>
      <w:r>
        <w:rPr>
          <w:rFonts w:ascii="宋体" w:hAnsi="宋体" w:eastAsia="宋体"/>
          <w:b w:val="0"/>
          <w:sz w:val="24"/>
        </w:rPr>
        <w:br w:type="textWrapping"/>
      </w:r>
      <w:r>
        <w:rPr>
          <w:rFonts w:ascii="宋体" w:hAnsi="宋体" w:eastAsia="宋体"/>
          <w:b w:val="0"/>
          <w:sz w:val="24"/>
        </w:rPr>
        <w:t xml:space="preserve">       1       2       3       4       5   可能性(P)</w:t>
      </w:r>
      <w:r>
        <w:rPr>
          <w:rFonts w:ascii="宋体" w:hAnsi="宋体" w:eastAsia="宋体"/>
          <w:b w:val="0"/>
          <w:sz w:val="24"/>
        </w:rPr>
        <w:br w:type="textWrapping"/>
      </w:r>
      <w:r>
        <w:rPr>
          <w:rFonts w:ascii="宋体" w:hAnsi="宋体" w:eastAsia="宋体"/>
          <w:b w:val="0"/>
          <w:sz w:val="24"/>
        </w:rPr>
        <w:br w:type="textWrapping"/>
      </w:r>
      <w:r>
        <w:rPr>
          <w:rFonts w:ascii="宋体" w:hAnsi="宋体" w:eastAsia="宋体"/>
          <w:b w:val="0"/>
          <w:sz w:val="24"/>
        </w:rPr>
        <w:t xml:space="preserve">  ★ = 重大风险区(≥15)    ■ = 高度关注区(10-14)</w:t>
      </w:r>
      <w:r>
        <w:rPr>
          <w:rFonts w:ascii="宋体" w:hAnsi="宋体" w:eastAsia="宋体"/>
          <w:b w:val="0"/>
          <w:sz w:val="24"/>
        </w:rPr>
        <w:br w:type="textWrapping"/>
      </w:r>
      <w:r>
        <w:rPr>
          <w:rFonts w:ascii="宋体" w:hAnsi="宋体" w:eastAsia="宋体"/>
          <w:b w:val="0"/>
          <w:sz w:val="24"/>
        </w:rPr>
        <w:t xml:space="preserve">  ● = 一般风险区(5-9)     ○ = 低风险区(&lt;5)</w:t>
      </w:r>
    </w:p>
    <w:p w14:paraId="5ABAD31E">
      <w:pPr>
        <w:pStyle w:val="4"/>
      </w:pPr>
      <w:bookmarkStart w:id="19" w:name="_Toc22247"/>
      <w:r>
        <w:rPr>
          <w:rFonts w:ascii="黑体" w:hAnsi="黑体" w:eastAsia="黑体"/>
          <w:sz w:val="28"/>
        </w:rPr>
        <w:t>4.3 重大风险详细分析</w:t>
      </w:r>
      <w:bookmarkEnd w:id="19"/>
    </w:p>
    <w:p w14:paraId="419AB767">
      <w:pPr>
        <w:spacing w:line="360" w:lineRule="auto"/>
        <w:ind w:firstLine="420"/>
      </w:pPr>
      <w:r>
        <w:rPr>
          <w:rFonts w:ascii="宋体" w:hAnsi="宋体" w:eastAsia="宋体"/>
          <w:b/>
          <w:sz w:val="24"/>
        </w:rPr>
        <w:t>R1：监管与政策不确定性风险（P=4, I=4, R=16）</w:t>
      </w:r>
    </w:p>
    <w:p w14:paraId="419E1D8B">
      <w:pPr>
        <w:spacing w:line="360" w:lineRule="auto"/>
        <w:ind w:firstLine="420"/>
      </w:pPr>
      <w:r>
        <w:rPr>
          <w:rFonts w:ascii="宋体" w:hAnsi="宋体" w:eastAsia="宋体"/>
          <w:b w:val="0"/>
          <w:sz w:val="24"/>
        </w:rPr>
        <w:t>风险描述：中国互联网行业监管虽然已从2021-2023年的"运动式治理"转向"常态化监管"，但新的监管议题仍在不断涌现。游戏监管方面，《网络游戏管理办法（草案征求意见稿）》中对诱导性奖励的限制条款可能直接影响核心游戏的变现模式；算法治理方面，"清朗·网络平台算法典型问题治理"专项行动要求平台公开算法机制，2025年"王者荣耀匹配算法诉讼案"可能成为行业判例；AIGC内容监管方面，深度合成/深度伪造内容的合规要求持续升级。</w:t>
      </w:r>
    </w:p>
    <w:p w14:paraId="26BF62B1">
      <w:pPr>
        <w:spacing w:line="360" w:lineRule="auto"/>
        <w:ind w:firstLine="420"/>
      </w:pPr>
      <w:r>
        <w:rPr>
          <w:rFonts w:ascii="宋体" w:hAnsi="宋体" w:eastAsia="宋体"/>
          <w:b w:val="0"/>
          <w:sz w:val="24"/>
        </w:rPr>
        <w:t>可能后果：核心游戏收入受政策冲击下降15%-30%；合规成本持续刚性化，年度额外支出增加10-20亿元；算法商业机密被强制披露损害竞争优势；监管处罚或业务暂停导致品牌声誉受损。</w:t>
      </w:r>
    </w:p>
    <w:p w14:paraId="6D878A2B">
      <w:pPr>
        <w:spacing w:line="360" w:lineRule="auto"/>
        <w:ind w:firstLine="420"/>
      </w:pPr>
      <w:r>
        <w:rPr>
          <w:rFonts w:ascii="宋体" w:hAnsi="宋体" w:eastAsia="宋体"/>
          <w:b w:val="0"/>
          <w:sz w:val="24"/>
        </w:rPr>
        <w:t>信息来源：腾讯2024年度报告"风险因素"章节；国家网信办《清朗·网络平台算法典型问题治理》专项行动通知（2024年11月）；《网络游戏管理办法（草案征求意见稿）》（2023年12月）；腾讯2024年ESG报告。</w:t>
      </w:r>
    </w:p>
    <w:p w14:paraId="700647D3">
      <w:pPr>
        <w:spacing w:line="360" w:lineRule="auto"/>
        <w:ind w:firstLine="420"/>
      </w:pPr>
      <w:r>
        <w:rPr>
          <w:rFonts w:ascii="宋体" w:hAnsi="宋体" w:eastAsia="宋体"/>
          <w:b/>
          <w:sz w:val="24"/>
        </w:rPr>
        <w:t>R2：行业竞争加剧风险（P=4, I=4, R=16）</w:t>
      </w:r>
    </w:p>
    <w:p w14:paraId="5AB9574C">
      <w:pPr>
        <w:spacing w:line="360" w:lineRule="auto"/>
        <w:ind w:firstLine="420"/>
      </w:pPr>
      <w:r>
        <w:rPr>
          <w:rFonts w:ascii="宋体" w:hAnsi="宋体" w:eastAsia="宋体"/>
          <w:b w:val="0"/>
          <w:sz w:val="24"/>
        </w:rPr>
        <w:t>风险描述：字节跳动在多个维度对腾讯形成全面挑战。流量层面，字节系用户时长占比（37.4%）于2026年1月首超腾讯系（30.0%），抖音总使用时长（2,530分钟/月）已超越微信（2,497分钟/月），标志着腾讯的流量护城河正在松动。AI应用层面，字节豆包月活（3.15亿）约为腾讯元宝（1.09亿）的3倍，春节期间元宝DAU从峰值跌去81%，用户留存问题突出。盈利层面，字节跳动2025年净利润有望达500亿美元，已超越腾讯。游戏领域，米哈游《原神》《崩坏：星穹铁道》等产品持续争夺市场份额。</w:t>
      </w:r>
    </w:p>
    <w:p w14:paraId="250535C1">
      <w:pPr>
        <w:spacing w:line="360" w:lineRule="auto"/>
        <w:ind w:firstLine="420"/>
      </w:pPr>
      <w:r>
        <w:rPr>
          <w:rFonts w:ascii="宋体" w:hAnsi="宋体" w:eastAsia="宋体"/>
          <w:b w:val="0"/>
          <w:sz w:val="24"/>
        </w:rPr>
        <w:t>可能后果：微信流量增长进一步放缓甚至见顶，广告变现效率承压；AI赛道"掉队"导致长期增长动力受损，市场估值中枢（PE）持续下移（已跌破15倍）；年轻用户加速流失至抖音等平台，长期用户基础被侵蚀；在AI人才争夺、投资标的争夺中处于劣势。</w:t>
      </w:r>
    </w:p>
    <w:p w14:paraId="4FE98F2F">
      <w:pPr>
        <w:spacing w:line="360" w:lineRule="auto"/>
        <w:ind w:firstLine="420"/>
      </w:pPr>
      <w:r>
        <w:rPr>
          <w:rFonts w:ascii="宋体" w:hAnsi="宋体" w:eastAsia="宋体"/>
          <w:b w:val="0"/>
          <w:sz w:val="24"/>
        </w:rPr>
        <w:t>信息来源：QuestMobile 2026年1月监测数据；AI产品榜2026年2月全球榜单；彭博社/钛媒体报道（2025年3月-2026年3月）；腾讯2025年度业绩发布会（2026年3月）。</w:t>
      </w:r>
    </w:p>
    <w:p w14:paraId="74539F8D">
      <w:pPr>
        <w:spacing w:line="360" w:lineRule="auto"/>
        <w:ind w:firstLine="420"/>
      </w:pPr>
      <w:r>
        <w:rPr>
          <w:rFonts w:ascii="宋体" w:hAnsi="宋体" w:eastAsia="宋体"/>
          <w:b/>
          <w:sz w:val="24"/>
        </w:rPr>
        <w:t>R3：地缘政治与制裁风险（P=3, I=5, R=15）</w:t>
      </w:r>
    </w:p>
    <w:p w14:paraId="72D33260">
      <w:pPr>
        <w:spacing w:line="360" w:lineRule="auto"/>
        <w:ind w:firstLine="420"/>
      </w:pPr>
      <w:r>
        <w:rPr>
          <w:rFonts w:ascii="宋体" w:hAnsi="宋体" w:eastAsia="宋体"/>
          <w:b w:val="0"/>
          <w:sz w:val="24"/>
        </w:rPr>
        <w:t>风险描述：2025年1月6日，美国国防部将腾讯新增至"1260H清单"（中国军事企业清单，CMC清单）。虽然CMC清单非制裁/出口管制清单，对腾讯核心业务的直接实质影响有限（涉美业务收入占比仅约5%），但存在向"禁止投资令"（类似2020年对中移动签署的行政命令）升级的风险。腾讯美资机构持股约11%（含先锋领航、贝莱德等指数基金），若投资禁令生效，将导致大规模被动卖出。此外，中美科技博弈背景下，GPU等关键硬件的出口管制可能在"后特朗普时代"进一步收紧。</w:t>
      </w:r>
    </w:p>
    <w:p w14:paraId="7423186F">
      <w:pPr>
        <w:spacing w:line="360" w:lineRule="auto"/>
        <w:ind w:firstLine="420"/>
      </w:pPr>
      <w:r>
        <w:rPr>
          <w:rFonts w:ascii="宋体" w:hAnsi="宋体" w:eastAsia="宋体"/>
          <w:b w:val="0"/>
          <w:sz w:val="24"/>
        </w:rPr>
        <w:t>可能后果：最坏情况下，美资机构被迫清仓腾讯股票，短期抛压导致市值暴跌20%-40%；海外游戏业务（约占整体收入9%）扩张受阻，国际合作伙伴关系紧张；高端GPU供应受限，AI算力建设进度放缓；国际资本市场的融资渠道收窄。</w:t>
      </w:r>
    </w:p>
    <w:p w14:paraId="17E8546A">
      <w:pPr>
        <w:spacing w:line="360" w:lineRule="auto"/>
        <w:ind w:firstLine="420"/>
      </w:pPr>
      <w:r>
        <w:rPr>
          <w:rFonts w:ascii="宋体" w:hAnsi="宋体" w:eastAsia="宋体"/>
          <w:b w:val="0"/>
          <w:sz w:val="24"/>
        </w:rPr>
        <w:t>信息来源：美国国防部CMC清单更新公告（2025年1月6日）；腾讯官方回应公告（2025年1月7日）；第一上海证券、国信证券、花旗等机构研报（2025年1月）；中移动2020年投资禁令先例分析。</w:t>
      </w:r>
    </w:p>
    <w:p w14:paraId="5F8E641D">
      <w:pPr>
        <w:spacing w:line="360" w:lineRule="auto"/>
        <w:ind w:firstLine="420"/>
      </w:pPr>
      <w:r>
        <w:rPr>
          <w:rFonts w:ascii="宋体" w:hAnsi="宋体" w:eastAsia="宋体"/>
          <w:b/>
          <w:sz w:val="24"/>
        </w:rPr>
        <w:t>R4：AI战略转型风险（P=3, I=4, R=12）</w:t>
      </w:r>
    </w:p>
    <w:p w14:paraId="0DD68685">
      <w:pPr>
        <w:spacing w:line="360" w:lineRule="auto"/>
        <w:ind w:firstLine="420"/>
      </w:pPr>
      <w:r>
        <w:rPr>
          <w:rFonts w:ascii="宋体" w:hAnsi="宋体" w:eastAsia="宋体"/>
          <w:b w:val="0"/>
          <w:sz w:val="24"/>
        </w:rPr>
        <w:t>风险描述：腾讯在AI领域的策略定位引发市场担忧——在底层算力上做"追随者"、在应用生态上做"统治者"。2024年AI资本开支767.6亿元虽创历史新高，但2025年仅微增至792亿元（+3%），远低于字节跳动（~1,600亿元）和阿里巴巴（三年3,800亿元）。AI原生应用方面，腾讯元宝虽经春节重金推广，但日活留存率不足20%，仍未出现真正的"杀手级应用"。微信内AI智能体尚处于早期规划阶段。</w:t>
      </w:r>
    </w:p>
    <w:p w14:paraId="62A37D30">
      <w:pPr>
        <w:spacing w:line="360" w:lineRule="auto"/>
        <w:ind w:firstLine="420"/>
      </w:pPr>
      <w:r>
        <w:rPr>
          <w:rFonts w:ascii="宋体" w:hAnsi="宋体" w:eastAsia="宋体"/>
          <w:b w:val="0"/>
          <w:sz w:val="24"/>
        </w:rPr>
        <w:t>可能后果：AI基础设施投资不足导致技术代差扩大，长期竞争力受损；元宝等AI应用无法在大模型竞赛中取得领先地位，战略资源浪费；AI时代"后发制人"策略（类似移动互联网时期微信的成功）可能在技术范式更快迭代的AI时代难以复制；投资者对AI战略的质疑导致估值持续承压（PE&lt;15倍）。</w:t>
      </w:r>
    </w:p>
    <w:p w14:paraId="64559ED9">
      <w:pPr>
        <w:spacing w:line="360" w:lineRule="auto"/>
        <w:ind w:firstLine="420"/>
      </w:pPr>
      <w:r>
        <w:rPr>
          <w:rFonts w:ascii="宋体" w:hAnsi="宋体" w:eastAsia="宋体"/>
          <w:b w:val="0"/>
          <w:sz w:val="24"/>
        </w:rPr>
        <w:t>信息来源：腾讯2024年度业绩公告；2025年度业绩公告（2026年3月）；钛媒体/36氪/蓝鲸财经等行业分析（2025年3月-2026年3月）；刘炽平在2024年Q4业绩电话会上的发言。</w:t>
      </w:r>
    </w:p>
    <w:p w14:paraId="2D0A0BE8">
      <w:pPr>
        <w:pStyle w:val="3"/>
      </w:pPr>
      <w:bookmarkStart w:id="20" w:name="_Toc21491"/>
      <w:r>
        <w:rPr>
          <w:rFonts w:ascii="黑体" w:hAnsi="黑体" w:eastAsia="黑体"/>
          <w:sz w:val="32"/>
        </w:rPr>
        <w:t>5. 风险应对</w:t>
      </w:r>
      <w:bookmarkEnd w:id="20"/>
    </w:p>
    <w:p w14:paraId="6AFCB1CB">
      <w:pPr>
        <w:spacing w:line="360" w:lineRule="auto"/>
        <w:ind w:firstLine="420"/>
      </w:pPr>
      <w:r>
        <w:rPr>
          <w:rFonts w:ascii="宋体" w:hAnsi="宋体" w:eastAsia="宋体"/>
          <w:b w:val="0"/>
          <w:sz w:val="24"/>
        </w:rPr>
        <w:t>根据COSO ERM框架，风险应对策略包括规避（Avoid）、降低（Reduce）、转移（Transfer）和接受（Accept）四种基本类型。本章针对第4节识别的四项重大/高度关注风险，逐一分析腾讯的现有应对措施，并给出评价与改进建议。</w:t>
      </w:r>
    </w:p>
    <w:p w14:paraId="3757F402">
      <w:pPr>
        <w:pStyle w:val="4"/>
      </w:pPr>
      <w:bookmarkStart w:id="21" w:name="_Toc11220"/>
      <w:r>
        <w:rPr>
          <w:rFonts w:ascii="黑体" w:hAnsi="黑体" w:eastAsia="黑体"/>
          <w:sz w:val="28"/>
        </w:rPr>
        <w:t>5.1 R1监管与政策风险的应对</w:t>
      </w:r>
      <w:bookmarkEnd w:id="21"/>
    </w:p>
    <w:p w14:paraId="594BABAE">
      <w:pPr>
        <w:spacing w:line="360" w:lineRule="auto"/>
        <w:ind w:firstLine="420"/>
      </w:pPr>
      <w:r>
        <w:rPr>
          <w:rFonts w:ascii="宋体" w:hAnsi="宋体" w:eastAsia="宋体"/>
          <w:b/>
          <w:sz w:val="24"/>
        </w:rPr>
        <w:t>（1）现有应对措施</w:t>
      </w:r>
    </w:p>
    <w:p w14:paraId="7D758D9B">
      <w:pPr>
        <w:spacing w:line="360" w:lineRule="auto"/>
        <w:ind w:firstLine="420"/>
      </w:pPr>
      <w:r>
        <w:rPr>
          <w:rFonts w:ascii="宋体" w:hAnsi="宋体" w:eastAsia="宋体"/>
          <w:b w:val="0"/>
          <w:sz w:val="24"/>
        </w:rPr>
        <w:t>腾讯采取"主动合规+政策沟通"的双轨策略。在主动合规方面：建立了覆盖游戏、内容、数据、金融等多个领域的专业合规团队；率先实施游戏未成年人保护体系（实名认证+人脸识别+宵禁+消费限额），未成年人游戏时长和流水占比已降至极低水平（据ESG报告披露不足1%）；签署《人工智能安全承诺》，主动参与AI安全治理标准的制定。在政策沟通方面：通过行业协会（如中国AI产业发展联盟）、人大代表/政协委员提案等渠道，积极与监管层沟通，推动监管规则的合理化和透明化。此外，腾讯已将ESG关键风险纳入年度企业风险评估及全面风险管理体系，由审核委员会每季度审阅。</w:t>
      </w:r>
    </w:p>
    <w:p w14:paraId="2116DFE4">
      <w:pPr>
        <w:spacing w:line="360" w:lineRule="auto"/>
        <w:ind w:firstLine="420"/>
      </w:pPr>
      <w:r>
        <w:rPr>
          <w:rFonts w:ascii="宋体" w:hAnsi="宋体" w:eastAsia="宋体"/>
          <w:b/>
          <w:sz w:val="24"/>
        </w:rPr>
        <w:t>（2）评价</w:t>
      </w:r>
    </w:p>
    <w:p w14:paraId="6B2695A1">
      <w:pPr>
        <w:spacing w:line="360" w:lineRule="auto"/>
        <w:ind w:firstLine="420"/>
      </w:pPr>
      <w:r>
        <w:rPr>
          <w:rFonts w:ascii="宋体" w:hAnsi="宋体" w:eastAsia="宋体"/>
          <w:b w:val="0"/>
          <w:sz w:val="24"/>
        </w:rPr>
        <w:t>腾讯的政策合规和监管沟通能力在行业内处于领先水平。游戏未成年人保护体系已成为行业标杆。然而，在算法透明度等新兴治理领域，腾讯的应对策略仍偏保守（如在"王者荣耀算法诉讼案"中以商业秘密为由拒绝公开匹配算法），这可能加剧公众和监管层的不信任感。</w:t>
      </w:r>
    </w:p>
    <w:p w14:paraId="68BC18B9">
      <w:pPr>
        <w:spacing w:line="360" w:lineRule="auto"/>
        <w:ind w:firstLine="420"/>
      </w:pPr>
      <w:r>
        <w:rPr>
          <w:rFonts w:ascii="宋体" w:hAnsi="宋体" w:eastAsia="宋体"/>
          <w:b/>
          <w:sz w:val="24"/>
        </w:rPr>
        <w:t>（3）改进建议</w:t>
      </w:r>
    </w:p>
    <w:p w14:paraId="431C3397">
      <w:pPr>
        <w:spacing w:line="360" w:lineRule="auto"/>
        <w:ind w:firstLine="420"/>
      </w:pPr>
      <w:r>
        <w:rPr>
          <w:rFonts w:ascii="宋体" w:hAnsi="宋体" w:eastAsia="宋体"/>
          <w:b w:val="0"/>
          <w:sz w:val="24"/>
        </w:rPr>
        <w:t>①建立"监管沙盒"机制：变被动合规为主动引领，率先推出可验证的算法公平性评估框架，以技术方案回应监管关切而非单纯拒绝。②设立专门的政策前瞻研究部门：系统性跟踪全球互联网监管趋势（特别是欧盟DSA/DMA、中国算法治理、AIGC立法），提前6-12个月预判政策方向，将合规成本从"应急支出"转化为"战略投资"。③加强与学术界的合作：邀请独立第三方对游戏匹配算法、推荐算法等核心机制进行学术评审，以增加透明度和公信力。</w:t>
      </w:r>
    </w:p>
    <w:p w14:paraId="6D40C4F3">
      <w:pPr>
        <w:pStyle w:val="4"/>
      </w:pPr>
      <w:bookmarkStart w:id="22" w:name="_Toc22229"/>
      <w:r>
        <w:rPr>
          <w:rFonts w:ascii="黑体" w:hAnsi="黑体" w:eastAsia="黑体"/>
          <w:sz w:val="28"/>
        </w:rPr>
        <w:t>5.2 R2行业竞争风险的应对</w:t>
      </w:r>
      <w:bookmarkEnd w:id="22"/>
    </w:p>
    <w:p w14:paraId="3F49F229">
      <w:pPr>
        <w:spacing w:line="360" w:lineRule="auto"/>
        <w:ind w:firstLine="420"/>
      </w:pPr>
      <w:r>
        <w:rPr>
          <w:rFonts w:ascii="宋体" w:hAnsi="宋体" w:eastAsia="宋体"/>
          <w:b/>
          <w:sz w:val="24"/>
        </w:rPr>
        <w:t>（1）现有应对措施</w:t>
      </w:r>
    </w:p>
    <w:p w14:paraId="23690540">
      <w:pPr>
        <w:spacing w:line="360" w:lineRule="auto"/>
        <w:ind w:firstLine="420"/>
      </w:pPr>
      <w:r>
        <w:rPr>
          <w:rFonts w:ascii="宋体" w:hAnsi="宋体" w:eastAsia="宋体"/>
          <w:b w:val="0"/>
          <w:sz w:val="24"/>
        </w:rPr>
        <w:t>面对字节跳动的竞争，腾讯采取了"防守+反击"的组合策略。防守端：强化微信生态的视频号、小程序、搜一搜等功能，提升用户停留时长和广告变现效率，2024年视频号广告收入同比+60%、微信搜一搜广告收入翻倍。反击端：在AI领域从"克制"转向"激进"，2025年末重组大模型研发体系，引入高端人才（如前OpenAI研究员姚顺雨），计划2026年AI新产品投资"至少翻倍"。游戏领域继续执行"长青游戏"策略，14款年流水超40亿元的游戏组合提供稳定的现金流基本盘。</w:t>
      </w:r>
    </w:p>
    <w:p w14:paraId="20C76D73">
      <w:pPr>
        <w:spacing w:line="360" w:lineRule="auto"/>
        <w:ind w:firstLine="420"/>
      </w:pPr>
      <w:r>
        <w:rPr>
          <w:rFonts w:ascii="宋体" w:hAnsi="宋体" w:eastAsia="宋体"/>
          <w:b/>
          <w:sz w:val="24"/>
        </w:rPr>
        <w:t>（2）评价</w:t>
      </w:r>
    </w:p>
    <w:p w14:paraId="773758D1">
      <w:pPr>
        <w:spacing w:line="360" w:lineRule="auto"/>
        <w:ind w:firstLine="420"/>
      </w:pPr>
      <w:r>
        <w:rPr>
          <w:rFonts w:ascii="宋体" w:hAnsi="宋体" w:eastAsia="宋体"/>
          <w:b w:val="0"/>
          <w:sz w:val="24"/>
        </w:rPr>
        <w:t>腾讯"防守+反击"策略的执行效果喜忧参半。视频号的增长（广告收入同比+60%）证明微信生态的商业化潜力仍在释放，但元宝的留存困境（DAU从峰值跌去81%）暴露了腾讯在AI应用层的短板。"后发制人"策略在移动互联网时代是成功的（微信晚于米聊但后来居上），但在技术壁垒更高、迭代速度更快的AI时代能否复制，存在重大不确定性。此外，腾讯对字节跳动竞争的整体应对节奏偏慢，在流量和利润已被大幅追赶后才开始实质性反击。</w:t>
      </w:r>
    </w:p>
    <w:p w14:paraId="4B8450C9">
      <w:pPr>
        <w:spacing w:line="360" w:lineRule="auto"/>
        <w:ind w:firstLine="420"/>
      </w:pPr>
      <w:r>
        <w:rPr>
          <w:rFonts w:ascii="宋体" w:hAnsi="宋体" w:eastAsia="宋体"/>
          <w:b/>
          <w:sz w:val="24"/>
        </w:rPr>
        <w:t>（3）改进建议</w:t>
      </w:r>
    </w:p>
    <w:p w14:paraId="6E37E946">
      <w:pPr>
        <w:spacing w:line="360" w:lineRule="auto"/>
        <w:ind w:firstLine="420"/>
      </w:pPr>
      <w:r>
        <w:rPr>
          <w:rFonts w:ascii="宋体" w:hAnsi="宋体" w:eastAsia="宋体"/>
          <w:b w:val="0"/>
          <w:sz w:val="24"/>
        </w:rPr>
        <w:t>①加速AI投入节奏：不应仅做"追随者"。2025年AI资本开支仅同比+3%的速度在行业竞速中明显不够。建议将AI基础设施投资提升至每年1,000亿元以上，缩小与字节跳动和阿里巴巴的投入差距。②重构AI产品策略：放弃"大而全"的元宝路径，聚焦微信生态内的AI Agent（智能体），利用13亿+用户的场景优势，在生活服务、办公协作、内容创作等高频场景中打造"AI原生"体验。③在游戏领域寻求差异化：不仅依赖"长青游戏"的防守策略，更应通过AI+游戏（AI生成内容/动态剧情/智能NPC）押注下一代游戏形态的创新。④国际化加速：在字节跳动TikTok面临全球监管压力的窗口期，加快《王者荣耀》国际版（Honor of Kings）和Level Infinite发行平台的全球布局。</w:t>
      </w:r>
    </w:p>
    <w:p w14:paraId="6F367804">
      <w:pPr>
        <w:pStyle w:val="4"/>
      </w:pPr>
      <w:bookmarkStart w:id="23" w:name="_Toc7896"/>
      <w:r>
        <w:rPr>
          <w:rFonts w:ascii="黑体" w:hAnsi="黑体" w:eastAsia="黑体"/>
          <w:sz w:val="28"/>
        </w:rPr>
        <w:t>5.3 R3地缘政治与制裁风险的应对</w:t>
      </w:r>
      <w:bookmarkEnd w:id="23"/>
    </w:p>
    <w:p w14:paraId="117C6431">
      <w:pPr>
        <w:spacing w:line="360" w:lineRule="auto"/>
        <w:ind w:firstLine="420"/>
      </w:pPr>
      <w:r>
        <w:rPr>
          <w:rFonts w:ascii="宋体" w:hAnsi="宋体" w:eastAsia="宋体"/>
          <w:b/>
          <w:sz w:val="24"/>
        </w:rPr>
        <w:t>（1）现有应对措施</w:t>
      </w:r>
    </w:p>
    <w:p w14:paraId="1072C3DE">
      <w:pPr>
        <w:spacing w:line="360" w:lineRule="auto"/>
        <w:ind w:firstLine="420"/>
      </w:pPr>
      <w:r>
        <w:rPr>
          <w:rFonts w:ascii="宋体" w:hAnsi="宋体" w:eastAsia="宋体"/>
          <w:b w:val="0"/>
          <w:sz w:val="24"/>
        </w:rPr>
        <w:t>腾讯被列入CMC清单后迅速启动应对机制：发布官方声明明确否认指控（"显然是一个错误，我们并不是军工企业"）；启动复议程序向美国国防部提交说明与证据；表态将"仍将同美国相关部门共同解决误会"；加大股份回购力度（2025年1月7日和18日合计回购15亿港元）以稳定市场信心；同时，保持与投行分析师的密切沟通，通过机构研报传递"实质影响有限"的判断。在法律层面，腾讯有成功先例可循——小米、中微公司、旷视科技等企业已被从类似清单中移除。</w:t>
      </w:r>
    </w:p>
    <w:p w14:paraId="0603B674">
      <w:pPr>
        <w:spacing w:line="360" w:lineRule="auto"/>
        <w:ind w:firstLine="420"/>
      </w:pPr>
      <w:r>
        <w:rPr>
          <w:rFonts w:ascii="宋体" w:hAnsi="宋体" w:eastAsia="宋体"/>
          <w:b/>
          <w:sz w:val="24"/>
        </w:rPr>
        <w:t>（2）评价</w:t>
      </w:r>
    </w:p>
    <w:p w14:paraId="58679DE5">
      <w:pPr>
        <w:spacing w:line="360" w:lineRule="auto"/>
        <w:ind w:firstLine="420"/>
      </w:pPr>
      <w:r>
        <w:rPr>
          <w:rFonts w:ascii="宋体" w:hAnsi="宋体" w:eastAsia="宋体"/>
          <w:b w:val="0"/>
          <w:sz w:val="24"/>
        </w:rPr>
        <w:t>腾讯的应对策略与市场沟通整体冷静、专业，避免了过度反应。CMC清单的实际影响确实有限（涉美业务仅占5%），但市场对"从CMC清单→投资禁令"升级路径的恐慌是合理的（参考中移动2020年的前车之鉴）。腾讯目前缺乏一个系统性的"最坏情景预案"的公开沟通，这让投资者难以做出充分的风险定价。</w:t>
      </w:r>
    </w:p>
    <w:p w14:paraId="7B585736">
      <w:pPr>
        <w:spacing w:line="360" w:lineRule="auto"/>
        <w:ind w:firstLine="420"/>
      </w:pPr>
      <w:r>
        <w:rPr>
          <w:rFonts w:ascii="宋体" w:hAnsi="宋体" w:eastAsia="宋体"/>
          <w:b/>
          <w:sz w:val="24"/>
        </w:rPr>
        <w:t>（3）改进建议</w:t>
      </w:r>
    </w:p>
    <w:p w14:paraId="6165ED1C">
      <w:pPr>
        <w:spacing w:line="360" w:lineRule="auto"/>
        <w:ind w:firstLine="420"/>
      </w:pPr>
      <w:r>
        <w:rPr>
          <w:rFonts w:ascii="宋体" w:hAnsi="宋体" w:eastAsia="宋体"/>
          <w:b w:val="0"/>
          <w:sz w:val="24"/>
        </w:rPr>
        <w:t>①制定并沟通"地缘政治风险分级应对预案"：针对不同升级情景（维持现状/升级至投资禁令/升级至出口管制）明确企业的应对路径，包括法律诉讼策略、ADR转港股方案（吸引内地南向资金接盘被抛售的美资持股）、业务全球化布局的"Plan B"（将海外业务总部迁至新加坡或欧洲）。②分散GPU供应链：在英伟达GPU受限的情景下，加速与华为昇腾、寒武纪等国产AI芯片的适配和替代方案的研发投入。③增设"地缘政治风险官"职位：直接向董事会汇报，统筹协调地缘政治风险的监测、评估和应对。</w:t>
      </w:r>
    </w:p>
    <w:p w14:paraId="79839B14">
      <w:pPr>
        <w:pStyle w:val="4"/>
      </w:pPr>
      <w:bookmarkStart w:id="24" w:name="_Toc2284"/>
      <w:r>
        <w:rPr>
          <w:rFonts w:ascii="黑体" w:hAnsi="黑体" w:eastAsia="黑体"/>
          <w:sz w:val="28"/>
        </w:rPr>
        <w:t>5.4 R4 AI战略转型风险的应对</w:t>
      </w:r>
      <w:bookmarkEnd w:id="24"/>
    </w:p>
    <w:p w14:paraId="6FB02A28">
      <w:pPr>
        <w:spacing w:line="360" w:lineRule="auto"/>
        <w:ind w:firstLine="420"/>
      </w:pPr>
      <w:r>
        <w:rPr>
          <w:rFonts w:ascii="宋体" w:hAnsi="宋体" w:eastAsia="宋体"/>
          <w:b/>
          <w:sz w:val="24"/>
        </w:rPr>
        <w:t>（1）现有应对措施</w:t>
      </w:r>
    </w:p>
    <w:p w14:paraId="2A0665FD">
      <w:pPr>
        <w:spacing w:line="360" w:lineRule="auto"/>
        <w:ind w:firstLine="420"/>
      </w:pPr>
      <w:r>
        <w:rPr>
          <w:rFonts w:ascii="宋体" w:hAnsi="宋体" w:eastAsia="宋体"/>
          <w:b w:val="0"/>
          <w:sz w:val="24"/>
        </w:rPr>
        <w:t>腾讯2024-2025年在AI领域的战略布局明显加速。组织层面：2025年末重组大模型研发体系，新设AI Infra和AI Data部门，引进前OpenAI研究员姚顺雨等高端人才。技术层面：自研混元大模型持续迭代，已接入700+内部场景；利用AI升级广告平台，驱动广告收入增长20%。资本层面：2024年AI相关资本开支767.6亿元（同比+221%），2025年进一步增至792亿元。产品层面：腾讯元宝经大规模推广后日活用户快速增长，2026年初月活达1.09亿；混元大模型API已对外开放。</w:t>
      </w:r>
    </w:p>
    <w:p w14:paraId="1A7D28BA">
      <w:pPr>
        <w:spacing w:line="360" w:lineRule="auto"/>
        <w:ind w:firstLine="420"/>
      </w:pPr>
      <w:r>
        <w:rPr>
          <w:rFonts w:ascii="宋体" w:hAnsi="宋体" w:eastAsia="宋体"/>
          <w:b/>
          <w:sz w:val="24"/>
        </w:rPr>
        <w:t>（2）评价</w:t>
      </w:r>
    </w:p>
    <w:p w14:paraId="19676ABA">
      <w:pPr>
        <w:spacing w:line="360" w:lineRule="auto"/>
        <w:ind w:firstLine="420"/>
      </w:pPr>
      <w:r>
        <w:rPr>
          <w:rFonts w:ascii="宋体" w:hAnsi="宋体" w:eastAsia="宋体"/>
          <w:b w:val="0"/>
          <w:sz w:val="24"/>
        </w:rPr>
        <w:t>腾讯AI战略的核心矛盾在于：资本投入的速度和力度与竞争对手存在显著差距。2025年资本开支792亿元vs 字节跳动~1,600亿元 vs 阿里巴巴三年3,800亿元——这个差距不仅体现在算力规模上，更体现在市场叙事和人才吸引力上。元宝推广费用高昂但留存率低迷，说明"流量+砸钱"的传统互联网打法在AI产品竞争中未必有效。但积极的一面是：混元大模型在微信700+场景的深度嵌入，以及腾讯在游戏AI、广告AI等垂直领域的应用优势，为"AI应用层崛起"策略提供了切实的可能性。</w:t>
      </w:r>
    </w:p>
    <w:p w14:paraId="08B8AE16">
      <w:pPr>
        <w:spacing w:line="360" w:lineRule="auto"/>
        <w:ind w:firstLine="420"/>
      </w:pPr>
      <w:r>
        <w:rPr>
          <w:rFonts w:ascii="宋体" w:hAnsi="宋体" w:eastAsia="宋体"/>
          <w:b/>
          <w:sz w:val="24"/>
        </w:rPr>
        <w:t>（3）改进建议</w:t>
      </w:r>
    </w:p>
    <w:p w14:paraId="3CFF8701">
      <w:pPr>
        <w:spacing w:line="360" w:lineRule="auto"/>
        <w:ind w:firstLine="420"/>
      </w:pPr>
      <w:r>
        <w:rPr>
          <w:rFonts w:ascii="宋体" w:hAnsi="宋体" w:eastAsia="宋体"/>
          <w:b w:val="0"/>
          <w:sz w:val="24"/>
        </w:rPr>
        <w:t>①大幅提高AI资本开支至每年1,000-1,200亿元，在算力基础设施上至少达到字节跳动的70%-80%水平，确保"不掉队"。②聚焦"微信+AI"差异化路径：停止与字节豆包在"通用AI助手"赛道的正面消耗战，转而将资源集中在微信生态内的AI Agent能力建设——支付、小程序、公众号、视频号、企业微信构成的超级生态是腾讯独一无二的AI落地场景。③适当减少股票回购（从800亿港元降至400-500亿港元），将释放的资金优先用于AI研发和人才引进。④建立AI治理委员会，将AI技术的研发与应用纳入统一的伦理和安全治理框架，以应对AIGC合规风险并提升社会信任。</w:t>
      </w:r>
    </w:p>
    <w:p w14:paraId="7C440FCC">
      <w:pPr>
        <w:pStyle w:val="3"/>
      </w:pPr>
      <w:bookmarkStart w:id="25" w:name="_Toc27843"/>
      <w:r>
        <w:rPr>
          <w:rFonts w:ascii="黑体" w:hAnsi="黑体" w:eastAsia="黑体"/>
          <w:sz w:val="32"/>
        </w:rPr>
        <w:t>6. 内控机制</w:t>
      </w:r>
      <w:bookmarkEnd w:id="25"/>
    </w:p>
    <w:p w14:paraId="51813D67">
      <w:pPr>
        <w:pStyle w:val="4"/>
      </w:pPr>
      <w:bookmarkStart w:id="26" w:name="_Toc25016"/>
      <w:r>
        <w:rPr>
          <w:rFonts w:ascii="黑体" w:hAnsi="黑体" w:eastAsia="黑体"/>
          <w:sz w:val="28"/>
        </w:rPr>
        <w:t>6.1 治理结构</w:t>
      </w:r>
      <w:bookmarkEnd w:id="26"/>
    </w:p>
    <w:p w14:paraId="293B3A3C">
      <w:pPr>
        <w:spacing w:line="360" w:lineRule="auto"/>
        <w:ind w:firstLine="420"/>
      </w:pPr>
      <w:r>
        <w:rPr>
          <w:rFonts w:ascii="宋体" w:hAnsi="宋体" w:eastAsia="宋体"/>
          <w:b w:val="0"/>
          <w:sz w:val="24"/>
        </w:rPr>
        <w:t>腾讯采用单层制董事会架构，截至2024年12月31日，董事会由8名董事组成：1名执行董事（马化腾，主席兼CEO）、2名非执行董事（来自Naspers集团）和5名独立非执行董事（占比62.5%）。董事会下设五个专门委员会：审核委员会、企业管治委员会、投资委员会、提名委员会和薪酬委员会。其中审核委员会由独立非执行董事组成，负责监督财务报告质量、外部审计、风险管理与内部监控有效性，是内部控制体系的最高监督机构。ESG管治方面，腾讯建立了三级架构：董事会（战略监督）→ ESG工作组（由首席战略官和首席财务官担任联席主席）→ 各事业群ESG业务代表（具体执行），下设用户隐私与数据安全、多元平等与共融、供应链管理等五个专项委员会。</w:t>
      </w:r>
    </w:p>
    <w:p w14:paraId="402EA90D">
      <w:pPr>
        <w:pStyle w:val="4"/>
      </w:pPr>
      <w:bookmarkStart w:id="27" w:name="_Toc19802"/>
      <w:r>
        <w:rPr>
          <w:rFonts w:ascii="黑体" w:hAnsi="黑体" w:eastAsia="黑体"/>
          <w:sz w:val="28"/>
        </w:rPr>
        <w:t>6.2 三道防线</w:t>
      </w:r>
      <w:bookmarkEnd w:id="27"/>
    </w:p>
    <w:p w14:paraId="729A9672">
      <w:pPr>
        <w:spacing w:line="360" w:lineRule="auto"/>
      </w:pPr>
      <w:r>
        <w:rPr>
          <w:rFonts w:ascii="宋体" w:hAnsi="宋体" w:eastAsia="宋体"/>
          <w:b w:val="0"/>
          <w:sz w:val="24"/>
        </w:rPr>
        <w:t>腾讯采用国际通行的"三线模型"（Three Lines Model）建立风险管理及内部监控架构：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71A2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shd w:val="clear" w:color="auto" w:fill="D9E2F3"/>
          </w:tcPr>
          <w:p w14:paraId="21D1FA88">
            <w:pPr>
              <w:spacing w:after="0"/>
              <w:jc w:val="center"/>
            </w:pPr>
            <w:r>
              <w:rPr>
                <w:rFonts w:ascii="宋体" w:hAnsi="宋体" w:eastAsia="宋体"/>
                <w:b/>
                <w:sz w:val="20"/>
              </w:rPr>
              <w:t>防线</w:t>
            </w:r>
          </w:p>
        </w:tc>
        <w:tc>
          <w:tcPr>
            <w:tcW w:w="2158" w:type="dxa"/>
            <w:shd w:val="clear" w:color="auto" w:fill="D9E2F3"/>
          </w:tcPr>
          <w:p w14:paraId="00D39813">
            <w:pPr>
              <w:spacing w:after="0"/>
              <w:jc w:val="center"/>
            </w:pPr>
            <w:r>
              <w:rPr>
                <w:rFonts w:ascii="宋体" w:hAnsi="宋体" w:eastAsia="宋体"/>
                <w:b/>
                <w:sz w:val="20"/>
              </w:rPr>
              <w:t>责任主体</w:t>
            </w:r>
          </w:p>
        </w:tc>
        <w:tc>
          <w:tcPr>
            <w:tcW w:w="2158" w:type="dxa"/>
            <w:shd w:val="clear" w:color="auto" w:fill="D9E2F3"/>
          </w:tcPr>
          <w:p w14:paraId="3F933790">
            <w:pPr>
              <w:spacing w:after="0"/>
              <w:jc w:val="center"/>
            </w:pPr>
            <w:r>
              <w:rPr>
                <w:rFonts w:ascii="宋体" w:hAnsi="宋体" w:eastAsia="宋体"/>
                <w:b/>
                <w:sz w:val="20"/>
              </w:rPr>
              <w:t>主要职责</w:t>
            </w:r>
          </w:p>
        </w:tc>
        <w:tc>
          <w:tcPr>
            <w:tcW w:w="2158" w:type="dxa"/>
            <w:shd w:val="clear" w:color="auto" w:fill="D9E2F3"/>
          </w:tcPr>
          <w:p w14:paraId="230366B2">
            <w:pPr>
              <w:spacing w:after="0"/>
              <w:jc w:val="center"/>
            </w:pPr>
            <w:r>
              <w:rPr>
                <w:rFonts w:ascii="宋体" w:hAnsi="宋体" w:eastAsia="宋体"/>
                <w:b/>
                <w:sz w:val="20"/>
              </w:rPr>
              <w:t>运作机制</w:t>
            </w:r>
          </w:p>
        </w:tc>
      </w:tr>
      <w:tr w14:paraId="5B40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5398EF68">
            <w:pPr>
              <w:spacing w:after="0"/>
              <w:jc w:val="center"/>
            </w:pPr>
            <w:r>
              <w:rPr>
                <w:rFonts w:ascii="宋体" w:hAnsi="宋体" w:eastAsia="宋体"/>
                <w:sz w:val="20"/>
              </w:rPr>
              <w:t>第一道防线</w:t>
            </w:r>
          </w:p>
        </w:tc>
        <w:tc>
          <w:tcPr>
            <w:tcW w:w="2158" w:type="dxa"/>
          </w:tcPr>
          <w:p w14:paraId="4F64AF27">
            <w:pPr>
              <w:spacing w:after="0"/>
              <w:jc w:val="center"/>
            </w:pPr>
            <w:r>
              <w:rPr>
                <w:rFonts w:ascii="宋体" w:hAnsi="宋体" w:eastAsia="宋体"/>
                <w:sz w:val="20"/>
              </w:rPr>
              <w:t>各事业群业务和职能部门</w:t>
            </w:r>
          </w:p>
        </w:tc>
        <w:tc>
          <w:tcPr>
            <w:tcW w:w="2158" w:type="dxa"/>
          </w:tcPr>
          <w:p w14:paraId="4EB11CC2">
            <w:pPr>
              <w:spacing w:after="0"/>
              <w:jc w:val="center"/>
            </w:pPr>
            <w:r>
              <w:rPr>
                <w:rFonts w:ascii="宋体" w:hAnsi="宋体" w:eastAsia="宋体"/>
                <w:sz w:val="20"/>
              </w:rPr>
              <w:t>自下而上对经营风险进行识别、评估和应对；规范合同管理流程；多级别审查</w:t>
            </w:r>
          </w:p>
        </w:tc>
        <w:tc>
          <w:tcPr>
            <w:tcW w:w="2158" w:type="dxa"/>
          </w:tcPr>
          <w:p w14:paraId="7CFAA0D5">
            <w:pPr>
              <w:spacing w:after="0"/>
              <w:jc w:val="center"/>
            </w:pPr>
            <w:r>
              <w:rPr>
                <w:rFonts w:ascii="宋体" w:hAnsi="宋体" w:eastAsia="宋体"/>
                <w:sz w:val="20"/>
              </w:rPr>
              <w:t>日常工作嵌入，风险识别与报告纳入绩效评估</w:t>
            </w:r>
          </w:p>
        </w:tc>
      </w:tr>
      <w:tr w14:paraId="2A94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00C70BE5">
            <w:pPr>
              <w:spacing w:after="0"/>
              <w:jc w:val="center"/>
            </w:pPr>
            <w:r>
              <w:rPr>
                <w:rFonts w:ascii="宋体" w:hAnsi="宋体" w:eastAsia="宋体"/>
                <w:sz w:val="20"/>
              </w:rPr>
              <w:t>第二道防线</w:t>
            </w:r>
          </w:p>
        </w:tc>
        <w:tc>
          <w:tcPr>
            <w:tcW w:w="2158" w:type="dxa"/>
          </w:tcPr>
          <w:p w14:paraId="3E9BBCAF">
            <w:pPr>
              <w:spacing w:after="0"/>
              <w:jc w:val="center"/>
            </w:pPr>
            <w:r>
              <w:rPr>
                <w:rFonts w:ascii="宋体" w:hAnsi="宋体" w:eastAsia="宋体"/>
                <w:sz w:val="20"/>
              </w:rPr>
              <w:t>风险管理部门、合规部门、财务部门</w:t>
            </w:r>
          </w:p>
        </w:tc>
        <w:tc>
          <w:tcPr>
            <w:tcW w:w="2158" w:type="dxa"/>
          </w:tcPr>
          <w:p w14:paraId="6CB2D554">
            <w:pPr>
              <w:spacing w:after="0"/>
              <w:jc w:val="center"/>
            </w:pPr>
            <w:r>
              <w:rPr>
                <w:rFonts w:ascii="宋体" w:hAnsi="宋体" w:eastAsia="宋体"/>
                <w:sz w:val="20"/>
              </w:rPr>
              <w:t>建立公司层面重大风险列表；制定风险管理策略与流程；业财融合监督管理</w:t>
            </w:r>
          </w:p>
        </w:tc>
        <w:tc>
          <w:tcPr>
            <w:tcW w:w="2158" w:type="dxa"/>
          </w:tcPr>
          <w:p w14:paraId="4009422E">
            <w:pPr>
              <w:spacing w:after="0"/>
              <w:jc w:val="center"/>
            </w:pPr>
            <w:r>
              <w:rPr>
                <w:rFonts w:ascii="宋体" w:hAnsi="宋体" w:eastAsia="宋体"/>
                <w:sz w:val="20"/>
              </w:rPr>
              <w:t>汇总分析各BG风险，每季度向审核委员会汇报</w:t>
            </w:r>
          </w:p>
        </w:tc>
      </w:tr>
      <w:tr w14:paraId="3091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8" w:type="dxa"/>
          </w:tcPr>
          <w:p w14:paraId="64F4BA44">
            <w:pPr>
              <w:spacing w:after="0"/>
              <w:jc w:val="center"/>
            </w:pPr>
            <w:r>
              <w:rPr>
                <w:rFonts w:ascii="宋体" w:hAnsi="宋体" w:eastAsia="宋体"/>
                <w:sz w:val="20"/>
              </w:rPr>
              <w:t>第三道防线</w:t>
            </w:r>
          </w:p>
        </w:tc>
        <w:tc>
          <w:tcPr>
            <w:tcW w:w="2158" w:type="dxa"/>
          </w:tcPr>
          <w:p w14:paraId="2D424C39">
            <w:pPr>
              <w:spacing w:after="0"/>
              <w:jc w:val="center"/>
            </w:pPr>
            <w:r>
              <w:rPr>
                <w:rFonts w:ascii="宋体" w:hAnsi="宋体" w:eastAsia="宋体"/>
                <w:sz w:val="20"/>
              </w:rPr>
              <w:t>内部审计部门、审核委员会</w:t>
            </w:r>
          </w:p>
        </w:tc>
        <w:tc>
          <w:tcPr>
            <w:tcW w:w="2158" w:type="dxa"/>
          </w:tcPr>
          <w:p w14:paraId="263C710E">
            <w:pPr>
              <w:spacing w:after="0"/>
              <w:jc w:val="center"/>
            </w:pPr>
            <w:r>
              <w:rPr>
                <w:rFonts w:ascii="宋体" w:hAnsi="宋体" w:eastAsia="宋体"/>
                <w:sz w:val="20"/>
              </w:rPr>
              <w:t>独立审计监督；评估风险管理与内控系统有效性；专项审计调查</w:t>
            </w:r>
          </w:p>
        </w:tc>
        <w:tc>
          <w:tcPr>
            <w:tcW w:w="2158" w:type="dxa"/>
          </w:tcPr>
          <w:p w14:paraId="110ECC5F">
            <w:pPr>
              <w:spacing w:after="0"/>
              <w:jc w:val="center"/>
            </w:pPr>
            <w:r>
              <w:rPr>
                <w:rFonts w:ascii="宋体" w:hAnsi="宋体" w:eastAsia="宋体"/>
                <w:sz w:val="20"/>
              </w:rPr>
              <w:t>审核委员会每季度审阅，每年至少一次全面评估</w:t>
            </w:r>
          </w:p>
        </w:tc>
      </w:tr>
    </w:tbl>
    <w:p w14:paraId="64290695"/>
    <w:p w14:paraId="4ED2422D">
      <w:pPr>
        <w:pStyle w:val="4"/>
      </w:pPr>
      <w:bookmarkStart w:id="28" w:name="_Toc26401"/>
      <w:r>
        <w:rPr>
          <w:rFonts w:ascii="黑体" w:hAnsi="黑体" w:eastAsia="黑体"/>
          <w:sz w:val="28"/>
        </w:rPr>
        <w:t>6.3 主要内控制度</w:t>
      </w:r>
      <w:bookmarkEnd w:id="28"/>
    </w:p>
    <w:p w14:paraId="07BF9801">
      <w:pPr>
        <w:spacing w:line="360" w:lineRule="auto"/>
        <w:ind w:firstLine="420"/>
      </w:pPr>
      <w:r>
        <w:rPr>
          <w:rFonts w:ascii="宋体" w:hAnsi="宋体" w:eastAsia="宋体"/>
          <w:b w:val="0"/>
          <w:sz w:val="24"/>
        </w:rPr>
        <w:t>腾讯建立了覆盖全业务、全流程的内控制度体系，核心包括：</w:t>
      </w:r>
      <w:r>
        <w:rPr>
          <w:rFonts w:ascii="宋体" w:hAnsi="宋体" w:eastAsia="宋体"/>
          <w:b w:val="0"/>
          <w:sz w:val="24"/>
        </w:rPr>
        <w:br w:type="textWrapping"/>
      </w:r>
      <w:r>
        <w:rPr>
          <w:rFonts w:ascii="宋体" w:hAnsi="宋体" w:eastAsia="宋体"/>
          <w:b w:val="0"/>
          <w:sz w:val="24"/>
        </w:rPr>
        <w:t>（1）《腾讯阳光行为准则》——规定六类"高压线"行为（弄虚作假、商业贿赂及职务侵占、信息安全违规及泄露机密、利益冲突、损害公司或员工权益、其他违法违规行为），触犯者一律解聘并永不录用，涉嫌犯罪的移送司法机关。</w:t>
      </w:r>
      <w:r>
        <w:rPr>
          <w:rFonts w:ascii="宋体" w:hAnsi="宋体" w:eastAsia="宋体"/>
          <w:b w:val="0"/>
          <w:sz w:val="24"/>
        </w:rPr>
        <w:br w:type="textWrapping"/>
      </w:r>
      <w:r>
        <w:rPr>
          <w:rFonts w:ascii="宋体" w:hAnsi="宋体" w:eastAsia="宋体"/>
          <w:b w:val="0"/>
          <w:sz w:val="24"/>
        </w:rPr>
        <w:t>（2）《反舞弊管理制度》——由独立的反舞弊调查部负责，2024年查处案件100余起，解聘100余人，移送公安机关20余人，新增永不合作供应商35家。2025年启用AI技术风控，自建多个AI分析工具构建动态风险模型。</w:t>
      </w:r>
      <w:r>
        <w:rPr>
          <w:rFonts w:ascii="宋体" w:hAnsi="宋体" w:eastAsia="宋体"/>
          <w:b w:val="0"/>
          <w:sz w:val="24"/>
        </w:rPr>
        <w:br w:type="textWrapping"/>
      </w:r>
      <w:r>
        <w:rPr>
          <w:rFonts w:ascii="宋体" w:hAnsi="宋体" w:eastAsia="宋体"/>
          <w:b w:val="0"/>
          <w:sz w:val="24"/>
        </w:rPr>
        <w:t>（3）《供应商ESG行为准则》——已纳入供应商准入流程，在环境认证、劳工权益、反舞弊等方面对供应商提出明确要求。</w:t>
      </w:r>
      <w:r>
        <w:rPr>
          <w:rFonts w:ascii="宋体" w:hAnsi="宋体" w:eastAsia="宋体"/>
          <w:b w:val="0"/>
          <w:sz w:val="24"/>
        </w:rPr>
        <w:br w:type="textWrapping"/>
      </w:r>
      <w:r>
        <w:rPr>
          <w:rFonts w:ascii="宋体" w:hAnsi="宋体" w:eastAsia="宋体"/>
          <w:b w:val="0"/>
          <w:sz w:val="24"/>
        </w:rPr>
        <w:t>（4）《用户隐私与数据安全管理制度》——遵循《个人信息保护法》《数据安全法》等法规要求，建立数据分类分级、权限管理、安全审计等机制。</w:t>
      </w:r>
      <w:r>
        <w:rPr>
          <w:rFonts w:ascii="宋体" w:hAnsi="宋体" w:eastAsia="宋体"/>
          <w:b w:val="0"/>
          <w:sz w:val="24"/>
        </w:rPr>
        <w:br w:type="textWrapping"/>
      </w:r>
      <w:r>
        <w:rPr>
          <w:rFonts w:ascii="宋体" w:hAnsi="宋体" w:eastAsia="宋体"/>
          <w:b w:val="0"/>
          <w:sz w:val="24"/>
        </w:rPr>
        <w:t>（5）《全面风险管理制度》——每年开展企业风险评估，ESG关键风险已纳入全面风险管理体系，风险类别涵盖业务经营、用户、业务伙伴、产业及社会、环境五大维度。</w:t>
      </w:r>
    </w:p>
    <w:p w14:paraId="6A420C77">
      <w:pPr>
        <w:pStyle w:val="4"/>
      </w:pPr>
      <w:bookmarkStart w:id="29" w:name="_Toc3895"/>
      <w:r>
        <w:rPr>
          <w:rFonts w:ascii="黑体" w:hAnsi="黑体" w:eastAsia="黑体"/>
          <w:sz w:val="28"/>
        </w:rPr>
        <w:t>6.4 内控与风险管理的关系</w:t>
      </w:r>
      <w:bookmarkEnd w:id="29"/>
    </w:p>
    <w:p w14:paraId="37727E02">
      <w:pPr>
        <w:spacing w:line="360" w:lineRule="auto"/>
        <w:ind w:firstLine="420"/>
      </w:pPr>
      <w:r>
        <w:rPr>
          <w:rFonts w:ascii="宋体" w:hAnsi="宋体" w:eastAsia="宋体"/>
          <w:b w:val="0"/>
          <w:sz w:val="24"/>
        </w:rPr>
        <w:t>在腾讯的治理框架中，内部控制是风险管理实施的重要手段，风险管理则为内部控制提供方向和重点。二者形成"风险管理识别和评估风险→内部控制设计和执行控制措施→内部审计和监督评价有效性→反馈改进"的闭环。2024年的一个重大创新是将AI技术首次深度嵌入内控和风控流程，从数据、算法和运营三个维度展开AI安全治理，使风险识别工具的"敏锐度和精准度"显著提升。然而，老干妈事件（2020年腾讯因未充分审查合同而被诈骗1,600余万元）的教训表明，即使建立了看似完善的三道防线体系，执行层面的薄弱环节仍可能导致重大风险事件。这也正是腾讯近年来持续加大内控投入和AI风控应用的原因所在。</w:t>
      </w:r>
    </w:p>
    <w:p w14:paraId="7055CFA3">
      <w:pPr>
        <w:pStyle w:val="3"/>
      </w:pPr>
      <w:bookmarkStart w:id="30" w:name="_Toc21602"/>
      <w:r>
        <w:rPr>
          <w:rFonts w:ascii="黑体" w:hAnsi="黑体" w:eastAsia="黑体"/>
          <w:sz w:val="32"/>
        </w:rPr>
        <w:t>7. 监督与改进</w:t>
      </w:r>
      <w:bookmarkEnd w:id="30"/>
    </w:p>
    <w:p w14:paraId="68FA9CEE">
      <w:pPr>
        <w:pStyle w:val="4"/>
      </w:pPr>
      <w:bookmarkStart w:id="31" w:name="_Toc13195"/>
      <w:r>
        <w:rPr>
          <w:rFonts w:ascii="黑体" w:hAnsi="黑体" w:eastAsia="黑体"/>
          <w:sz w:val="28"/>
        </w:rPr>
        <w:t>7.1 监督主体</w:t>
      </w:r>
      <w:bookmarkEnd w:id="31"/>
    </w:p>
    <w:p w14:paraId="6E905C84">
      <w:pPr>
        <w:spacing w:line="360" w:lineRule="auto"/>
        <w:ind w:firstLine="420"/>
      </w:pPr>
      <w:r>
        <w:rPr>
          <w:rFonts w:ascii="宋体" w:hAnsi="宋体" w:eastAsia="宋体"/>
          <w:b w:val="0"/>
          <w:sz w:val="24"/>
        </w:rPr>
        <w:t>腾讯的风险管理监督体系由以下主体构成：</w:t>
      </w:r>
      <w:r>
        <w:rPr>
          <w:rFonts w:ascii="宋体" w:hAnsi="宋体" w:eastAsia="宋体"/>
          <w:b w:val="0"/>
          <w:sz w:val="24"/>
        </w:rPr>
        <w:br w:type="textWrapping"/>
      </w:r>
      <w:r>
        <w:rPr>
          <w:rFonts w:ascii="宋体" w:hAnsi="宋体" w:eastAsia="宋体"/>
          <w:b w:val="0"/>
          <w:sz w:val="24"/>
        </w:rPr>
        <w:t>（1）董事会审核委员会——最高监督机构，由5名独立非执行董事组成，每季度审阅管理层的风险管理实践，每年至少一次评估重大风险评估结果及内部监控系统的有效性。</w:t>
      </w:r>
      <w:r>
        <w:rPr>
          <w:rFonts w:ascii="宋体" w:hAnsi="宋体" w:eastAsia="宋体"/>
          <w:b w:val="0"/>
          <w:sz w:val="24"/>
        </w:rPr>
        <w:br w:type="textWrapping"/>
      </w:r>
      <w:r>
        <w:rPr>
          <w:rFonts w:ascii="宋体" w:hAnsi="宋体" w:eastAsia="宋体"/>
          <w:b w:val="0"/>
          <w:sz w:val="24"/>
        </w:rPr>
        <w:t>（2）内部审计部门——独立设于总部，直接向审核委员会汇报，负责制定审计计划、审查财务报表与预算执行、开展专项审计调查、跟踪整改落实。</w:t>
      </w:r>
      <w:r>
        <w:rPr>
          <w:rFonts w:ascii="宋体" w:hAnsi="宋体" w:eastAsia="宋体"/>
          <w:b w:val="0"/>
          <w:sz w:val="24"/>
        </w:rPr>
        <w:br w:type="textWrapping"/>
      </w:r>
      <w:r>
        <w:rPr>
          <w:rFonts w:ascii="宋体" w:hAnsi="宋体" w:eastAsia="宋体"/>
          <w:b w:val="0"/>
          <w:sz w:val="24"/>
        </w:rPr>
        <w:t>（3）反舞弊调查部——独立开展员工违规行为调查，通过举报邮箱（jubao@tencent.com）和微信公众号（"阳光腾讯"）受理举报，定期发布《反舞弊通报》。</w:t>
      </w:r>
      <w:r>
        <w:rPr>
          <w:rFonts w:ascii="宋体" w:hAnsi="宋体" w:eastAsia="宋体"/>
          <w:b w:val="0"/>
          <w:sz w:val="24"/>
        </w:rPr>
        <w:br w:type="textWrapping"/>
      </w:r>
      <w:r>
        <w:rPr>
          <w:rFonts w:ascii="宋体" w:hAnsi="宋体" w:eastAsia="宋体"/>
          <w:b w:val="0"/>
          <w:sz w:val="24"/>
        </w:rPr>
        <w:t>（4）外部审计师——普华永道（PwC）担任独立审计师，对财务报表发表审计意见，同时就内控有效性提供独立意见。</w:t>
      </w:r>
      <w:r>
        <w:rPr>
          <w:rFonts w:ascii="宋体" w:hAnsi="宋体" w:eastAsia="宋体"/>
          <w:b w:val="0"/>
          <w:sz w:val="24"/>
        </w:rPr>
        <w:br w:type="textWrapping"/>
      </w:r>
      <w:r>
        <w:rPr>
          <w:rFonts w:ascii="宋体" w:hAnsi="宋体" w:eastAsia="宋体"/>
          <w:b w:val="0"/>
          <w:sz w:val="24"/>
        </w:rPr>
        <w:t>（5）监管机构——香港联交所、香港证监会（SFC）、中国人民银行、国家网信办、国家新闻出版署等，通过定期报告审查、现场检查和专项调查等方式实施外部监督。</w:t>
      </w:r>
    </w:p>
    <w:p w14:paraId="48B77D64">
      <w:pPr>
        <w:pStyle w:val="4"/>
      </w:pPr>
      <w:bookmarkStart w:id="32" w:name="_Toc5444"/>
      <w:r>
        <w:rPr>
          <w:rFonts w:ascii="黑体" w:hAnsi="黑体" w:eastAsia="黑体"/>
          <w:sz w:val="28"/>
        </w:rPr>
        <w:t>7.2 信息披露</w:t>
      </w:r>
      <w:bookmarkEnd w:id="32"/>
    </w:p>
    <w:p w14:paraId="3933EDEB">
      <w:pPr>
        <w:spacing w:line="360" w:lineRule="auto"/>
        <w:ind w:firstLine="420"/>
      </w:pPr>
      <w:r>
        <w:rPr>
          <w:rFonts w:ascii="宋体" w:hAnsi="宋体" w:eastAsia="宋体"/>
          <w:b w:val="0"/>
          <w:sz w:val="24"/>
        </w:rPr>
        <w:t>腾讯作为港交所上市公司，须遵守《上市规则》的及时披露义务。具体实践包括：</w:t>
      </w:r>
      <w:r>
        <w:rPr>
          <w:rFonts w:ascii="宋体" w:hAnsi="宋体" w:eastAsia="宋体"/>
          <w:b w:val="0"/>
          <w:sz w:val="24"/>
        </w:rPr>
        <w:br w:type="textWrapping"/>
      </w:r>
      <w:r>
        <w:rPr>
          <w:rFonts w:ascii="宋体" w:hAnsi="宋体" w:eastAsia="宋体"/>
          <w:b w:val="0"/>
          <w:sz w:val="24"/>
        </w:rPr>
        <w:t>（1）年度报告——披露全面的财务数据、经营回顾、风险因素及企业管治报告，其中"风险因素"章节系统阐述了公司面临的主要风险类别和应对措施。</w:t>
      </w:r>
      <w:r>
        <w:rPr>
          <w:rFonts w:ascii="宋体" w:hAnsi="宋体" w:eastAsia="宋体"/>
          <w:b w:val="0"/>
          <w:sz w:val="24"/>
        </w:rPr>
        <w:br w:type="textWrapping"/>
      </w:r>
      <w:r>
        <w:rPr>
          <w:rFonts w:ascii="宋体" w:hAnsi="宋体" w:eastAsia="宋体"/>
          <w:b w:val="0"/>
          <w:sz w:val="24"/>
        </w:rPr>
        <w:t>（2）ESG报告——自2016年起每年发布，依据GRI标准、SASB标准和TCFD框架编制，2024年ESG报告特别加入了AI治理、气候变化和生物多样性等新兴议题。</w:t>
      </w:r>
      <w:r>
        <w:rPr>
          <w:rFonts w:ascii="宋体" w:hAnsi="宋体" w:eastAsia="宋体"/>
          <w:b w:val="0"/>
          <w:sz w:val="24"/>
        </w:rPr>
        <w:br w:type="textWrapping"/>
      </w:r>
      <w:r>
        <w:rPr>
          <w:rFonts w:ascii="宋体" w:hAnsi="宋体" w:eastAsia="宋体"/>
          <w:b w:val="0"/>
          <w:sz w:val="24"/>
        </w:rPr>
        <w:t>（3）季度业绩公告——每季度发布未经审计的财务数据及经营亮点。</w:t>
      </w:r>
      <w:r>
        <w:rPr>
          <w:rFonts w:ascii="宋体" w:hAnsi="宋体" w:eastAsia="宋体"/>
          <w:b w:val="0"/>
          <w:sz w:val="24"/>
        </w:rPr>
        <w:br w:type="textWrapping"/>
      </w:r>
      <w:r>
        <w:rPr>
          <w:rFonts w:ascii="宋体" w:hAnsi="宋体" w:eastAsia="宋体"/>
          <w:b w:val="0"/>
          <w:sz w:val="24"/>
        </w:rPr>
        <w:t>（4）临时公告——对可能影响股价的重大事项（如被列入CMC清单）及时发布澄清公告。</w:t>
      </w:r>
      <w:r>
        <w:rPr>
          <w:rFonts w:ascii="宋体" w:hAnsi="宋体" w:eastAsia="宋体"/>
          <w:b w:val="0"/>
          <w:sz w:val="24"/>
        </w:rPr>
        <w:br w:type="textWrapping"/>
      </w:r>
      <w:r>
        <w:rPr>
          <w:rFonts w:ascii="宋体" w:hAnsi="宋体" w:eastAsia="宋体"/>
          <w:b w:val="0"/>
          <w:sz w:val="24"/>
        </w:rPr>
        <w:t>（5）阳光腾讯公众号——每年公布反舞弊通报，向社会公开内部监督的成果和决心。</w:t>
      </w:r>
      <w:r>
        <w:rPr>
          <w:rFonts w:ascii="宋体" w:hAnsi="宋体" w:eastAsia="宋体"/>
          <w:b w:val="0"/>
          <w:sz w:val="24"/>
        </w:rPr>
        <w:br w:type="textWrapping"/>
      </w:r>
      <w:r>
        <w:rPr>
          <w:rFonts w:ascii="宋体" w:hAnsi="宋体" w:eastAsia="宋体"/>
          <w:b w:val="0"/>
          <w:sz w:val="24"/>
        </w:rPr>
        <w:t>总体而言，腾讯的信息披露质量在港交所互联网企业中处于领先水平，但与全球最佳实践（如微软、谷歌在AI透明度报告方面的做法）相比，在技术风险和AI伦理方面的信息披露仍有提升空间。</w:t>
      </w:r>
    </w:p>
    <w:p w14:paraId="20F043F2">
      <w:pPr>
        <w:pStyle w:val="4"/>
      </w:pPr>
      <w:bookmarkStart w:id="33" w:name="_Toc4330"/>
      <w:r>
        <w:rPr>
          <w:rFonts w:ascii="黑体" w:hAnsi="黑体" w:eastAsia="黑体"/>
          <w:sz w:val="28"/>
        </w:rPr>
        <w:t>7.3 整改与持续改进机制</w:t>
      </w:r>
      <w:bookmarkEnd w:id="33"/>
    </w:p>
    <w:p w14:paraId="5B8DBD42">
      <w:pPr>
        <w:spacing w:line="360" w:lineRule="auto"/>
        <w:ind w:firstLine="420"/>
      </w:pPr>
      <w:r>
        <w:rPr>
          <w:rFonts w:ascii="宋体" w:hAnsi="宋体" w:eastAsia="宋体"/>
          <w:b w:val="0"/>
          <w:sz w:val="24"/>
        </w:rPr>
        <w:t>腾讯的整改与改进机制遵循"发现问题→根因分析→制定措施→整改落实→跟踪验收"的闭环流程：</w:t>
      </w:r>
      <w:r>
        <w:rPr>
          <w:rFonts w:ascii="宋体" w:hAnsi="宋体" w:eastAsia="宋体"/>
          <w:b w:val="0"/>
          <w:sz w:val="24"/>
        </w:rPr>
        <w:br w:type="textWrapping"/>
      </w:r>
      <w:r>
        <w:rPr>
          <w:rFonts w:ascii="宋体" w:hAnsi="宋体" w:eastAsia="宋体"/>
          <w:b w:val="0"/>
          <w:sz w:val="24"/>
        </w:rPr>
        <w:t>（1）内部审计整改——内部审计发现问题后，向被审计单位出具审计报告和整改建议书，要求限期整改并跟踪落实。</w:t>
      </w:r>
      <w:r>
        <w:rPr>
          <w:rFonts w:ascii="宋体" w:hAnsi="宋体" w:eastAsia="宋体"/>
          <w:b w:val="0"/>
          <w:sz w:val="24"/>
        </w:rPr>
        <w:br w:type="textWrapping"/>
      </w:r>
      <w:r>
        <w:rPr>
          <w:rFonts w:ascii="宋体" w:hAnsi="宋体" w:eastAsia="宋体"/>
          <w:b w:val="0"/>
          <w:sz w:val="24"/>
        </w:rPr>
        <w:t>（2）监管反馈整改——针对监管检查提出的问题，由合规部门牵头制定整改方案，定期向监管层汇报进展。</w:t>
      </w:r>
      <w:r>
        <w:rPr>
          <w:rFonts w:ascii="宋体" w:hAnsi="宋体" w:eastAsia="宋体"/>
          <w:b w:val="0"/>
          <w:sz w:val="24"/>
        </w:rPr>
        <w:br w:type="textWrapping"/>
      </w:r>
      <w:r>
        <w:rPr>
          <w:rFonts w:ascii="宋体" w:hAnsi="宋体" w:eastAsia="宋体"/>
          <w:b w:val="0"/>
          <w:sz w:val="24"/>
        </w:rPr>
        <w:t>（3）反舞弊整改——根据案件暴露的管理漏洞，修订完善制度流程，加强敏感岗位轮岗和培训。</w:t>
      </w:r>
      <w:r>
        <w:rPr>
          <w:rFonts w:ascii="宋体" w:hAnsi="宋体" w:eastAsia="宋体"/>
          <w:b w:val="0"/>
          <w:sz w:val="24"/>
        </w:rPr>
        <w:br w:type="textWrapping"/>
      </w:r>
      <w:r>
        <w:rPr>
          <w:rFonts w:ascii="宋体" w:hAnsi="宋体" w:eastAsia="宋体"/>
          <w:b w:val="0"/>
          <w:sz w:val="24"/>
        </w:rPr>
        <w:t>（4）风险事件复盘——对已发生的风险事件（如CMC清单列入）进行"事后复盘"，总结经验教训并更新风险应对预案。</w:t>
      </w:r>
      <w:r>
        <w:rPr>
          <w:rFonts w:ascii="宋体" w:hAnsi="宋体" w:eastAsia="宋体"/>
          <w:b w:val="0"/>
          <w:sz w:val="24"/>
        </w:rPr>
        <w:br w:type="textWrapping"/>
      </w:r>
      <w:r>
        <w:rPr>
          <w:rFonts w:ascii="宋体" w:hAnsi="宋体" w:eastAsia="宋体"/>
          <w:b w:val="0"/>
          <w:sz w:val="24"/>
        </w:rPr>
        <w:t>（5）年度全面风险评估——每年对企业风险清单进行滚动更新，评估现有控制措施的有效性，识别新风险并调整风险优先级。</w:t>
      </w:r>
    </w:p>
    <w:p w14:paraId="3FF49CE5">
      <w:pPr>
        <w:pStyle w:val="4"/>
      </w:pPr>
      <w:bookmarkStart w:id="34" w:name="_Toc8245"/>
      <w:r>
        <w:rPr>
          <w:rFonts w:ascii="黑体" w:hAnsi="黑体" w:eastAsia="黑体"/>
          <w:sz w:val="28"/>
        </w:rPr>
        <w:t>7.4 持续改进建议</w:t>
      </w:r>
      <w:bookmarkEnd w:id="34"/>
    </w:p>
    <w:p w14:paraId="562AAB8E">
      <w:pPr>
        <w:spacing w:line="360" w:lineRule="auto"/>
        <w:ind w:firstLine="420"/>
      </w:pPr>
      <w:r>
        <w:rPr>
          <w:rFonts w:ascii="宋体" w:hAnsi="宋体" w:eastAsia="宋体"/>
          <w:b w:val="0"/>
          <w:sz w:val="24"/>
        </w:rPr>
        <w:t>基于对腾讯监督与改进机制的分析，提出以下改进建议：</w:t>
      </w:r>
      <w:r>
        <w:rPr>
          <w:rFonts w:ascii="宋体" w:hAnsi="宋体" w:eastAsia="宋体"/>
          <w:b w:val="0"/>
          <w:sz w:val="24"/>
        </w:rPr>
        <w:br w:type="textWrapping"/>
      </w:r>
      <w:r>
        <w:rPr>
          <w:rFonts w:ascii="宋体" w:hAnsi="宋体" w:eastAsia="宋体"/>
          <w:b w:val="0"/>
          <w:sz w:val="24"/>
        </w:rPr>
        <w:t>①增强外部独立监督——在董事会层面引入"首席风险官（CRO）"，直接向审核委员会汇报，改变目前风险管理分散在各个BG和职能部门的碎片化格局。</w:t>
      </w:r>
      <w:r>
        <w:rPr>
          <w:rFonts w:ascii="宋体" w:hAnsi="宋体" w:eastAsia="宋体"/>
          <w:b w:val="0"/>
          <w:sz w:val="24"/>
        </w:rPr>
        <w:br w:type="textWrapping"/>
      </w:r>
      <w:r>
        <w:rPr>
          <w:rFonts w:ascii="宋体" w:hAnsi="宋体" w:eastAsia="宋体"/>
          <w:b w:val="0"/>
          <w:sz w:val="24"/>
        </w:rPr>
        <w:t>②建立"AI风险管理专项审计"——鉴于AI技术已深度嵌入700+业务场景，应设立专门的AI算法审计机制，定期评估AI模型的公平性、安全性和可解释性，并对外发布AI透明度报告。</w:t>
      </w:r>
      <w:r>
        <w:rPr>
          <w:rFonts w:ascii="宋体" w:hAnsi="宋体" w:eastAsia="宋体"/>
          <w:b w:val="0"/>
          <w:sz w:val="24"/>
        </w:rPr>
        <w:br w:type="textWrapping"/>
      </w:r>
      <w:r>
        <w:rPr>
          <w:rFonts w:ascii="宋体" w:hAnsi="宋体" w:eastAsia="宋体"/>
          <w:b w:val="0"/>
          <w:sz w:val="24"/>
        </w:rPr>
        <w:t>③设立"吹哨人保护制度"——在现有举报机制基础上，正式建立匿名举报保护和奖励政策，借鉴美国SEC吹哨人制度的经验，鼓励内部知情者揭发重大风险和违规行为。</w:t>
      </w:r>
      <w:r>
        <w:rPr>
          <w:rFonts w:ascii="宋体" w:hAnsi="宋体" w:eastAsia="宋体"/>
          <w:b w:val="0"/>
          <w:sz w:val="24"/>
        </w:rPr>
        <w:br w:type="textWrapping"/>
      </w:r>
      <w:r>
        <w:rPr>
          <w:rFonts w:ascii="宋体" w:hAnsi="宋体" w:eastAsia="宋体"/>
          <w:b w:val="0"/>
          <w:sz w:val="24"/>
        </w:rPr>
        <w:t>④加强跨境合规协同——在海外业务占比持续提升的背景下，建立统一的全球合规管理平台，确保各国合规要求得到系统性满足而非"打补丁"式应对。</w:t>
      </w:r>
      <w:r>
        <w:rPr>
          <w:rFonts w:ascii="宋体" w:hAnsi="宋体" w:eastAsia="宋体"/>
          <w:b w:val="0"/>
          <w:sz w:val="24"/>
        </w:rPr>
        <w:br w:type="textWrapping"/>
      </w:r>
      <w:r>
        <w:rPr>
          <w:rFonts w:ascii="宋体" w:hAnsi="宋体" w:eastAsia="宋体"/>
          <w:b w:val="0"/>
          <w:sz w:val="24"/>
        </w:rPr>
        <w:t>⑤将风险管理文化纳入组织DNA——在员工绩效考核中增加风险管理的权重，将"风险管理"从合规部门的一项职能升级为每位员工的共同责任。</w:t>
      </w:r>
    </w:p>
    <w:p w14:paraId="437A2E8F">
      <w:pPr>
        <w:pStyle w:val="3"/>
      </w:pPr>
      <w:bookmarkStart w:id="35" w:name="_Toc32144"/>
      <w:r>
        <w:rPr>
          <w:rFonts w:ascii="黑体" w:hAnsi="黑体" w:eastAsia="黑体"/>
          <w:sz w:val="32"/>
        </w:rPr>
        <w:t>8. 总结与讨论</w:t>
      </w:r>
      <w:bookmarkEnd w:id="35"/>
    </w:p>
    <w:p w14:paraId="45218C7B">
      <w:pPr>
        <w:pStyle w:val="4"/>
      </w:pPr>
      <w:bookmarkStart w:id="36" w:name="_Toc19960"/>
      <w:r>
        <w:rPr>
          <w:rFonts w:ascii="黑体" w:hAnsi="黑体" w:eastAsia="黑体"/>
          <w:sz w:val="28"/>
        </w:rPr>
        <w:t>8.1 报告优势</w:t>
      </w:r>
      <w:bookmarkEnd w:id="36"/>
    </w:p>
    <w:p w14:paraId="60C4E3D7">
      <w:pPr>
        <w:spacing w:line="360" w:lineRule="auto"/>
        <w:ind w:firstLine="420"/>
      </w:pPr>
      <w:r>
        <w:rPr>
          <w:rFonts w:ascii="宋体" w:hAnsi="宋体" w:eastAsia="宋体"/>
          <w:b w:val="0"/>
          <w:sz w:val="24"/>
        </w:rPr>
        <w:t>本报告具有以下优势：（1）数据驱动——基于腾讯2024年度报告、2024年ESG报告、港交所公告、第三方行业数据（QuestMobile、AI产品榜）等多元公开数据，确保分析有据可依；（2）框架严谨——严格遵循COSO ERM 2017框架和ISO 31000标准，从治理与文化、战略与目标设定、绩效、审阅与修订、信息沟通与报告五个维度系统展开；（3）风险矩阵量化——采用"可能性×影响程度"的二维评估方法，使风险评估更加可视化、可比较；（4）前瞻视角——不仅分析已知风险，还前瞻性地识别了AI战略转型、算法治理等新兴风险领域。</w:t>
      </w:r>
    </w:p>
    <w:p w14:paraId="19344595">
      <w:pPr>
        <w:pStyle w:val="4"/>
      </w:pPr>
      <w:bookmarkStart w:id="37" w:name="_Toc17604"/>
      <w:r>
        <w:rPr>
          <w:rFonts w:ascii="黑体" w:hAnsi="黑体" w:eastAsia="黑体"/>
          <w:sz w:val="28"/>
        </w:rPr>
        <w:t>8.2 报告局限性</w:t>
      </w:r>
      <w:bookmarkEnd w:id="37"/>
    </w:p>
    <w:p w14:paraId="6E5A4F68">
      <w:pPr>
        <w:spacing w:line="360" w:lineRule="auto"/>
        <w:ind w:firstLine="420"/>
      </w:pPr>
      <w:r>
        <w:rPr>
          <w:rFonts w:ascii="宋体" w:hAnsi="宋体" w:eastAsia="宋体"/>
          <w:b w:val="0"/>
          <w:sz w:val="24"/>
        </w:rPr>
        <w:t>本报告存在以下局限：（1）数据来源局限——所有分析基于公开信息，无法获取腾讯内部的风险管理数据和决策过程，可能导致对某些内部风险（如操作风险、人员风险）的评估不够精准；（2）时效性局限——公开信息的披露通常存在1-6个月的滞后，截至报告撰写时（2025年6月），最新完整年报数据为2024年度，部分竞争数据和市场数据更新至2025年Q1/2026年初，但仍有信息滞后期；（3）方法的局限——风险矩阵法虽然直观，但在可能性和影响的评分上不可避免地存在主观性，且未采用定量金融模型（如VaR、压力测试）做更深度的量化分析；（4）覆盖范围的局限——本报告侧重腾讯控股的集团层面风险，对特定事业群或特定业务线的微观风险覆盖不足，如CSIG云业务的具体客户流失风险、IEG游戏业务中特定IP的过时风险等。</w:t>
      </w:r>
    </w:p>
    <w:p w14:paraId="5860761B">
      <w:pPr>
        <w:pStyle w:val="4"/>
      </w:pPr>
      <w:bookmarkStart w:id="38" w:name="_Toc1032"/>
      <w:r>
        <w:rPr>
          <w:rFonts w:ascii="黑体" w:hAnsi="黑体" w:eastAsia="黑体"/>
          <w:sz w:val="28"/>
        </w:rPr>
        <w:t>8.3 未来新风险展望</w:t>
      </w:r>
      <w:bookmarkEnd w:id="38"/>
    </w:p>
    <w:p w14:paraId="573F373E">
      <w:pPr>
        <w:spacing w:line="360" w:lineRule="auto"/>
        <w:ind w:firstLine="420"/>
      </w:pPr>
      <w:r>
        <w:rPr>
          <w:rFonts w:ascii="宋体" w:hAnsi="宋体" w:eastAsia="宋体"/>
          <w:b w:val="0"/>
          <w:sz w:val="24"/>
        </w:rPr>
        <w:t>展望2026年及以后，腾讯可能面临以下新兴风险：</w:t>
      </w:r>
      <w:r>
        <w:rPr>
          <w:rFonts w:ascii="宋体" w:hAnsi="宋体" w:eastAsia="宋体"/>
          <w:b w:val="0"/>
          <w:sz w:val="24"/>
        </w:rPr>
        <w:br w:type="textWrapping"/>
      </w:r>
      <w:r>
        <w:rPr>
          <w:rFonts w:ascii="宋体" w:hAnsi="宋体" w:eastAsia="宋体"/>
          <w:b w:val="0"/>
          <w:sz w:val="24"/>
        </w:rPr>
        <w:t>（1）AGI/超级智能治理风险——随着大模型能力向AGI演进，人工智能安全、对齐（Alignment）和控制问题将从学术议题演变为企业和社会的核心风险，领先AI企业将面临前所未有的治理挑战。</w:t>
      </w:r>
      <w:r>
        <w:rPr>
          <w:rFonts w:ascii="宋体" w:hAnsi="宋体" w:eastAsia="宋体"/>
          <w:b w:val="0"/>
          <w:sz w:val="24"/>
        </w:rPr>
        <w:br w:type="textWrapping"/>
      </w:r>
      <w:r>
        <w:rPr>
          <w:rFonts w:ascii="宋体" w:hAnsi="宋体" w:eastAsia="宋体"/>
          <w:b w:val="0"/>
          <w:sz w:val="24"/>
        </w:rPr>
        <w:t>（2）Web3/去中心化冲击——虽然当前Web3仍处于早期阶段，但去中心化社交协议和区块链游戏可能在未来3-5年对腾讯的中心化平台模式构成结构性威胁。</w:t>
      </w:r>
      <w:r>
        <w:rPr>
          <w:rFonts w:ascii="宋体" w:hAnsi="宋体" w:eastAsia="宋体"/>
          <w:b w:val="0"/>
          <w:sz w:val="24"/>
        </w:rPr>
        <w:br w:type="textWrapping"/>
      </w:r>
      <w:r>
        <w:rPr>
          <w:rFonts w:ascii="宋体" w:hAnsi="宋体" w:eastAsia="宋体"/>
          <w:b w:val="0"/>
          <w:sz w:val="24"/>
        </w:rPr>
        <w:t>（3）老龄化社会与用户结构风险——中国人口老龄化加速，年轻用户持续萎缩（QQ月活已从高峰的8亿+降至5.24亿），腾讯面临"用户代际断层"的风险。</w:t>
      </w:r>
      <w:r>
        <w:rPr>
          <w:rFonts w:ascii="宋体" w:hAnsi="宋体" w:eastAsia="宋体"/>
          <w:b w:val="0"/>
          <w:sz w:val="24"/>
        </w:rPr>
        <w:br w:type="textWrapping"/>
      </w:r>
      <w:r>
        <w:rPr>
          <w:rFonts w:ascii="宋体" w:hAnsi="宋体" w:eastAsia="宋体"/>
          <w:b w:val="0"/>
          <w:sz w:val="24"/>
        </w:rPr>
        <w:t>（4）气候风险——数据中心能耗随AI算力需求激增而急剧上升，碳减排目标（2050年净零）的实现压力加大，可能面临更严格的碳排放监管和绿色电力采购成本上升。</w:t>
      </w:r>
      <w:r>
        <w:rPr>
          <w:rFonts w:ascii="宋体" w:hAnsi="宋体" w:eastAsia="宋体"/>
          <w:b w:val="0"/>
          <w:sz w:val="24"/>
        </w:rPr>
        <w:br w:type="textWrapping"/>
      </w:r>
      <w:r>
        <w:rPr>
          <w:rFonts w:ascii="宋体" w:hAnsi="宋体" w:eastAsia="宋体"/>
          <w:b w:val="0"/>
          <w:sz w:val="24"/>
        </w:rPr>
        <w:t>（5）TikTok式监管连锁反应——如果TikTok在美被禁或强制出售得到执行，可能引发全球各国对"超级App"的更严格审查，腾讯的微信/WeChat和游戏业务也可能受到波及。</w:t>
      </w:r>
    </w:p>
    <w:p w14:paraId="70C376D6">
      <w:pPr>
        <w:pStyle w:val="4"/>
      </w:pPr>
      <w:bookmarkStart w:id="39" w:name="_Toc2103"/>
      <w:r>
        <w:rPr>
          <w:rFonts w:ascii="黑体" w:hAnsi="黑体" w:eastAsia="黑体"/>
          <w:sz w:val="28"/>
        </w:rPr>
        <w:t>8.4 改进空间总结</w:t>
      </w:r>
      <w:bookmarkEnd w:id="39"/>
    </w:p>
    <w:p w14:paraId="40E8C45F">
      <w:pPr>
        <w:spacing w:line="360" w:lineRule="auto"/>
        <w:ind w:firstLine="420"/>
      </w:pPr>
      <w:r>
        <w:rPr>
          <w:rFonts w:ascii="宋体" w:hAnsi="宋体" w:eastAsia="宋体"/>
          <w:b w:val="0"/>
          <w:sz w:val="24"/>
        </w:rPr>
        <w:t>综合来看，腾讯的风险管理体系健全有效，在以下方面仍有改进空间：</w:t>
      </w:r>
      <w:r>
        <w:rPr>
          <w:rFonts w:ascii="宋体" w:hAnsi="宋体" w:eastAsia="宋体"/>
          <w:b w:val="0"/>
          <w:sz w:val="24"/>
        </w:rPr>
        <w:br w:type="textWrapping"/>
      </w:r>
      <w:r>
        <w:rPr>
          <w:rFonts w:ascii="宋体" w:hAnsi="宋体" w:eastAsia="宋体"/>
          <w:b w:val="0"/>
          <w:sz w:val="24"/>
        </w:rPr>
        <w:t>（1）从被动合规到主动治理——特别是在AI伦理和算法透明度领域，应领先于监管要求主动建立行业标准。</w:t>
      </w:r>
      <w:r>
        <w:rPr>
          <w:rFonts w:ascii="宋体" w:hAnsi="宋体" w:eastAsia="宋体"/>
          <w:b w:val="0"/>
          <w:sz w:val="24"/>
        </w:rPr>
        <w:br w:type="textWrapping"/>
      </w:r>
      <w:r>
        <w:rPr>
          <w:rFonts w:ascii="宋体" w:hAnsi="宋体" w:eastAsia="宋体"/>
          <w:b w:val="0"/>
          <w:sz w:val="24"/>
        </w:rPr>
        <w:t>（2）加强地缘政治风险的系统性应对——需要从个案应对升级为战略层面的"去风险化"，包括供应链多元化、资本市场多元化（利用港股通吸引南向资金）、以及海外业务架构的弹性设计。</w:t>
      </w:r>
      <w:r>
        <w:rPr>
          <w:rFonts w:ascii="宋体" w:hAnsi="宋体" w:eastAsia="宋体"/>
          <w:b w:val="0"/>
          <w:sz w:val="24"/>
        </w:rPr>
        <w:br w:type="textWrapping"/>
      </w:r>
      <w:r>
        <w:rPr>
          <w:rFonts w:ascii="宋体" w:hAnsi="宋体" w:eastAsia="宋体"/>
          <w:b w:val="0"/>
          <w:sz w:val="24"/>
        </w:rPr>
        <w:t>（3）加快AI投入和战略聚焦——在算力基础设施投入上与头部竞争者缩小差距，同时聚焦"微信+AI"的差异化路径避免同质化竞争。</w:t>
      </w:r>
      <w:r>
        <w:rPr>
          <w:rFonts w:ascii="宋体" w:hAnsi="宋体" w:eastAsia="宋体"/>
          <w:b w:val="0"/>
          <w:sz w:val="24"/>
        </w:rPr>
        <w:br w:type="textWrapping"/>
      </w:r>
      <w:r>
        <w:rPr>
          <w:rFonts w:ascii="宋体" w:hAnsi="宋体" w:eastAsia="宋体"/>
          <w:b w:val="0"/>
          <w:sz w:val="24"/>
        </w:rPr>
        <w:t>（4）建立更强的风险文化——将风险管理意识从合规部门延伸到每一位员工和管理者，让人人成为"风险的第一道防线"。</w:t>
      </w:r>
      <w:r>
        <w:rPr>
          <w:rFonts w:ascii="宋体" w:hAnsi="宋体" w:eastAsia="宋体"/>
          <w:b w:val="0"/>
          <w:sz w:val="24"/>
        </w:rPr>
        <w:br w:type="textWrapping"/>
      </w:r>
      <w:r>
        <w:rPr>
          <w:rFonts w:ascii="宋体" w:hAnsi="宋体" w:eastAsia="宋体"/>
          <w:b w:val="0"/>
          <w:sz w:val="24"/>
        </w:rPr>
        <w:t>（5）提升技术风险和AI风险的透明度——建议发布年度《AI透明度报告》，向投资者和社会公众披露AI治理的进展、挑战和关键指标。</w:t>
      </w:r>
    </w:p>
    <w:p w14:paraId="381ADE83">
      <w:pPr>
        <w:pStyle w:val="4"/>
      </w:pPr>
      <w:bookmarkStart w:id="40" w:name="_Toc28387"/>
      <w:r>
        <w:rPr>
          <w:rFonts w:ascii="黑体" w:hAnsi="黑体" w:eastAsia="黑体"/>
          <w:sz w:val="28"/>
        </w:rPr>
        <w:t>8.5 个人收获</w:t>
      </w:r>
      <w:bookmarkEnd w:id="40"/>
    </w:p>
    <w:p w14:paraId="7DEC3193">
      <w:pPr>
        <w:spacing w:line="360" w:lineRule="auto"/>
        <w:ind w:firstLine="420"/>
      </w:pPr>
      <w:r>
        <w:rPr>
          <w:rFonts w:ascii="宋体" w:hAnsi="宋体" w:eastAsia="宋体"/>
          <w:b w:val="0"/>
          <w:sz w:val="24"/>
        </w:rPr>
        <w:t>通过本次报告的研究与撰写，本人对全面风险管理（ERM）的理论框架与实践应用有了更深入的理解：</w:t>
      </w:r>
      <w:r>
        <w:rPr>
          <w:rFonts w:ascii="宋体" w:hAnsi="宋体" w:eastAsia="宋体"/>
          <w:b w:val="0"/>
          <w:sz w:val="24"/>
        </w:rPr>
        <w:br w:type="textWrapping"/>
      </w:r>
      <w:r>
        <w:rPr>
          <w:rFonts w:ascii="宋体" w:hAnsi="宋体" w:eastAsia="宋体"/>
          <w:b w:val="0"/>
          <w:sz w:val="24"/>
        </w:rPr>
        <w:t>（1）ERM不是一套静态的检查清单，而是一个嵌入企业战略与日常运营的动态过程——腾讯的案例生动展示了风险管理如何随外部环境（监管、竞争、地缘政治）和企业战略（AI转型）的变化而持续演进。</w:t>
      </w:r>
      <w:r>
        <w:rPr>
          <w:rFonts w:ascii="宋体" w:hAnsi="宋体" w:eastAsia="宋体"/>
          <w:b w:val="0"/>
          <w:sz w:val="24"/>
        </w:rPr>
        <w:br w:type="textWrapping"/>
      </w:r>
      <w:r>
        <w:rPr>
          <w:rFonts w:ascii="宋体" w:hAnsi="宋体" w:eastAsia="宋体"/>
          <w:b w:val="0"/>
          <w:sz w:val="24"/>
        </w:rPr>
        <w:t>（2）风险评估工具（如风险矩阵）虽然简便直观，但真正困难的是对风险"可能性"和"影响程度"的准确判断——这需要对行业、企业和宏观环境的深刻理解，而非简单的数字打分。</w:t>
      </w:r>
      <w:r>
        <w:rPr>
          <w:rFonts w:ascii="宋体" w:hAnsi="宋体" w:eastAsia="宋体"/>
          <w:b w:val="0"/>
          <w:sz w:val="24"/>
        </w:rPr>
        <w:br w:type="textWrapping"/>
      </w:r>
      <w:r>
        <w:rPr>
          <w:rFonts w:ascii="宋体" w:hAnsi="宋体" w:eastAsia="宋体"/>
          <w:b w:val="0"/>
          <w:sz w:val="24"/>
        </w:rPr>
        <w:t>（3）风险管理的最高境界不是"消除所有风险"，而是在风险与回报之间做出明智的权衡——腾讯在AI投入上"保守"引发市场担忧，但它对股东回报的重视（大规模回购+分红）同样是一种对投资者利益的风险管理。</w:t>
      </w:r>
      <w:r>
        <w:rPr>
          <w:rFonts w:ascii="宋体" w:hAnsi="宋体" w:eastAsia="宋体"/>
          <w:b w:val="0"/>
          <w:sz w:val="24"/>
        </w:rPr>
        <w:br w:type="textWrapping"/>
      </w:r>
      <w:r>
        <w:rPr>
          <w:rFonts w:ascii="宋体" w:hAnsi="宋体" w:eastAsia="宋体"/>
          <w:b w:val="0"/>
          <w:sz w:val="24"/>
        </w:rPr>
        <w:t>（4）在中国互联网行业发展范式从"高增长"向"高质量"转型的背景下，风险管理的核心挑战正在从"如何规避合规风险"转向"如何在不确定的环境中做出正确的战略选择"——这对风险管理者的战略思维和前瞻判断力提出了更高的要求。</w:t>
      </w:r>
    </w:p>
    <w:p w14:paraId="136EC397">
      <w:pPr>
        <w:pStyle w:val="3"/>
      </w:pPr>
      <w:bookmarkStart w:id="41" w:name="_Toc30112"/>
      <w:r>
        <w:rPr>
          <w:rFonts w:ascii="黑体" w:hAnsi="黑体" w:eastAsia="黑体"/>
          <w:sz w:val="32"/>
        </w:rPr>
        <w:t>附录</w:t>
      </w:r>
      <w:bookmarkEnd w:id="41"/>
    </w:p>
    <w:p w14:paraId="0744C08F">
      <w:pPr>
        <w:pStyle w:val="4"/>
      </w:pPr>
      <w:bookmarkStart w:id="42" w:name="_Toc13271"/>
      <w:r>
        <w:rPr>
          <w:rFonts w:ascii="黑体" w:hAnsi="黑体" w:eastAsia="黑体"/>
          <w:sz w:val="28"/>
        </w:rPr>
        <w:t>附录A：主要财务数据表</w:t>
      </w:r>
      <w:bookmarkEnd w:id="42"/>
    </w:p>
    <w:p w14:paraId="249C19C3">
      <w:pPr>
        <w:spacing w:line="360" w:lineRule="auto"/>
      </w:pPr>
      <w:r>
        <w:rPr>
          <w:rFonts w:ascii="宋体" w:hAnsi="宋体" w:eastAsia="宋体"/>
          <w:b/>
          <w:sz w:val="24"/>
        </w:rPr>
        <w:t>表A-1：腾讯控股2022-2024年主要财务指标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1316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shd w:val="clear" w:color="auto" w:fill="D9E2F3"/>
          </w:tcPr>
          <w:p w14:paraId="01433B01">
            <w:pPr>
              <w:spacing w:after="0"/>
              <w:jc w:val="center"/>
            </w:pPr>
            <w:r>
              <w:rPr>
                <w:rFonts w:ascii="宋体" w:hAnsi="宋体" w:eastAsia="宋体"/>
                <w:b/>
                <w:sz w:val="20"/>
              </w:rPr>
              <w:t>指标</w:t>
            </w:r>
          </w:p>
        </w:tc>
        <w:tc>
          <w:tcPr>
            <w:tcW w:w="1727" w:type="dxa"/>
            <w:shd w:val="clear" w:color="auto" w:fill="D9E2F3"/>
          </w:tcPr>
          <w:p w14:paraId="78E96142">
            <w:pPr>
              <w:spacing w:after="0"/>
              <w:jc w:val="center"/>
            </w:pPr>
            <w:r>
              <w:rPr>
                <w:rFonts w:ascii="宋体" w:hAnsi="宋体" w:eastAsia="宋体"/>
                <w:b/>
                <w:sz w:val="20"/>
              </w:rPr>
              <w:t>2022年</w:t>
            </w:r>
          </w:p>
        </w:tc>
        <w:tc>
          <w:tcPr>
            <w:tcW w:w="1727" w:type="dxa"/>
            <w:shd w:val="clear" w:color="auto" w:fill="D9E2F3"/>
          </w:tcPr>
          <w:p w14:paraId="570D02CF">
            <w:pPr>
              <w:spacing w:after="0"/>
              <w:jc w:val="center"/>
            </w:pPr>
            <w:r>
              <w:rPr>
                <w:rFonts w:ascii="宋体" w:hAnsi="宋体" w:eastAsia="宋体"/>
                <w:b/>
                <w:sz w:val="20"/>
              </w:rPr>
              <w:t>2023年</w:t>
            </w:r>
          </w:p>
        </w:tc>
        <w:tc>
          <w:tcPr>
            <w:tcW w:w="1727" w:type="dxa"/>
            <w:shd w:val="clear" w:color="auto" w:fill="D9E2F3"/>
          </w:tcPr>
          <w:p w14:paraId="205C2ABD">
            <w:pPr>
              <w:spacing w:after="0"/>
              <w:jc w:val="center"/>
            </w:pPr>
            <w:r>
              <w:rPr>
                <w:rFonts w:ascii="宋体" w:hAnsi="宋体" w:eastAsia="宋体"/>
                <w:b/>
                <w:sz w:val="20"/>
              </w:rPr>
              <w:t>2024年</w:t>
            </w:r>
          </w:p>
        </w:tc>
        <w:tc>
          <w:tcPr>
            <w:tcW w:w="1727" w:type="dxa"/>
            <w:shd w:val="clear" w:color="auto" w:fill="D9E2F3"/>
          </w:tcPr>
          <w:p w14:paraId="2758E298">
            <w:pPr>
              <w:spacing w:after="0"/>
              <w:jc w:val="center"/>
            </w:pPr>
            <w:r>
              <w:rPr>
                <w:rFonts w:ascii="宋体" w:hAnsi="宋体" w:eastAsia="宋体"/>
                <w:b/>
                <w:sz w:val="20"/>
              </w:rPr>
              <w:t>2024同比</w:t>
            </w:r>
          </w:p>
        </w:tc>
      </w:tr>
      <w:tr w14:paraId="74C28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BD0A66F">
            <w:pPr>
              <w:spacing w:after="0"/>
              <w:jc w:val="center"/>
            </w:pPr>
            <w:r>
              <w:rPr>
                <w:rFonts w:ascii="宋体" w:hAnsi="宋体" w:eastAsia="宋体"/>
                <w:sz w:val="20"/>
              </w:rPr>
              <w:t>营业收入（亿元）</w:t>
            </w:r>
          </w:p>
        </w:tc>
        <w:tc>
          <w:tcPr>
            <w:tcW w:w="1727" w:type="dxa"/>
          </w:tcPr>
          <w:p w14:paraId="6F2300AE">
            <w:pPr>
              <w:spacing w:after="0"/>
              <w:jc w:val="center"/>
            </w:pPr>
            <w:r>
              <w:rPr>
                <w:rFonts w:ascii="宋体" w:hAnsi="宋体" w:eastAsia="宋体"/>
                <w:sz w:val="20"/>
              </w:rPr>
              <w:t>5,546</w:t>
            </w:r>
          </w:p>
        </w:tc>
        <w:tc>
          <w:tcPr>
            <w:tcW w:w="1727" w:type="dxa"/>
          </w:tcPr>
          <w:p w14:paraId="3DE3DA00">
            <w:pPr>
              <w:spacing w:after="0"/>
              <w:jc w:val="center"/>
            </w:pPr>
            <w:r>
              <w:rPr>
                <w:rFonts w:ascii="宋体" w:hAnsi="宋体" w:eastAsia="宋体"/>
                <w:sz w:val="20"/>
              </w:rPr>
              <w:t>6,091</w:t>
            </w:r>
          </w:p>
        </w:tc>
        <w:tc>
          <w:tcPr>
            <w:tcW w:w="1727" w:type="dxa"/>
          </w:tcPr>
          <w:p w14:paraId="7F3E38A5">
            <w:pPr>
              <w:spacing w:after="0"/>
              <w:jc w:val="center"/>
            </w:pPr>
            <w:r>
              <w:rPr>
                <w:rFonts w:ascii="宋体" w:hAnsi="宋体" w:eastAsia="宋体"/>
                <w:sz w:val="20"/>
              </w:rPr>
              <w:t>6,603</w:t>
            </w:r>
          </w:p>
        </w:tc>
        <w:tc>
          <w:tcPr>
            <w:tcW w:w="1727" w:type="dxa"/>
          </w:tcPr>
          <w:p w14:paraId="043B60C7">
            <w:pPr>
              <w:spacing w:after="0"/>
              <w:jc w:val="center"/>
            </w:pPr>
            <w:r>
              <w:rPr>
                <w:rFonts w:ascii="宋体" w:hAnsi="宋体" w:eastAsia="宋体"/>
                <w:sz w:val="20"/>
              </w:rPr>
              <w:t>+8%</w:t>
            </w:r>
          </w:p>
        </w:tc>
      </w:tr>
      <w:tr w14:paraId="0112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4ADEB4A">
            <w:pPr>
              <w:spacing w:after="0"/>
              <w:jc w:val="center"/>
            </w:pPr>
            <w:r>
              <w:rPr>
                <w:rFonts w:ascii="宋体" w:hAnsi="宋体" w:eastAsia="宋体"/>
                <w:sz w:val="20"/>
              </w:rPr>
              <w:t>毛利（亿元）</w:t>
            </w:r>
          </w:p>
        </w:tc>
        <w:tc>
          <w:tcPr>
            <w:tcW w:w="1727" w:type="dxa"/>
          </w:tcPr>
          <w:p w14:paraId="2A600F6A">
            <w:pPr>
              <w:spacing w:after="0"/>
              <w:jc w:val="center"/>
            </w:pPr>
            <w:r>
              <w:rPr>
                <w:rFonts w:ascii="宋体" w:hAnsi="宋体" w:eastAsia="宋体"/>
                <w:sz w:val="20"/>
              </w:rPr>
              <w:t>2,387</w:t>
            </w:r>
          </w:p>
        </w:tc>
        <w:tc>
          <w:tcPr>
            <w:tcW w:w="1727" w:type="dxa"/>
          </w:tcPr>
          <w:p w14:paraId="7D9981BE">
            <w:pPr>
              <w:spacing w:after="0"/>
              <w:jc w:val="center"/>
            </w:pPr>
            <w:r>
              <w:rPr>
                <w:rFonts w:ascii="宋体" w:hAnsi="宋体" w:eastAsia="宋体"/>
                <w:sz w:val="20"/>
              </w:rPr>
              <w:t>2,931</w:t>
            </w:r>
          </w:p>
        </w:tc>
        <w:tc>
          <w:tcPr>
            <w:tcW w:w="1727" w:type="dxa"/>
          </w:tcPr>
          <w:p w14:paraId="70ADBCEC">
            <w:pPr>
              <w:spacing w:after="0"/>
              <w:jc w:val="center"/>
            </w:pPr>
            <w:r>
              <w:rPr>
                <w:rFonts w:ascii="宋体" w:hAnsi="宋体" w:eastAsia="宋体"/>
                <w:sz w:val="20"/>
              </w:rPr>
              <w:t>3,492</w:t>
            </w:r>
          </w:p>
        </w:tc>
        <w:tc>
          <w:tcPr>
            <w:tcW w:w="1727" w:type="dxa"/>
          </w:tcPr>
          <w:p w14:paraId="151B02C4">
            <w:pPr>
              <w:spacing w:after="0"/>
              <w:jc w:val="center"/>
            </w:pPr>
            <w:r>
              <w:rPr>
                <w:rFonts w:ascii="宋体" w:hAnsi="宋体" w:eastAsia="宋体"/>
                <w:sz w:val="20"/>
              </w:rPr>
              <w:t>+19%</w:t>
            </w:r>
          </w:p>
        </w:tc>
      </w:tr>
      <w:tr w14:paraId="7722A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20E3620">
            <w:pPr>
              <w:spacing w:after="0"/>
              <w:jc w:val="center"/>
            </w:pPr>
            <w:r>
              <w:rPr>
                <w:rFonts w:ascii="宋体" w:hAnsi="宋体" w:eastAsia="宋体"/>
                <w:sz w:val="20"/>
              </w:rPr>
              <w:t>毛利率</w:t>
            </w:r>
          </w:p>
        </w:tc>
        <w:tc>
          <w:tcPr>
            <w:tcW w:w="1727" w:type="dxa"/>
          </w:tcPr>
          <w:p w14:paraId="5B1E3FF0">
            <w:pPr>
              <w:spacing w:after="0"/>
              <w:jc w:val="center"/>
            </w:pPr>
            <w:r>
              <w:rPr>
                <w:rFonts w:ascii="宋体" w:hAnsi="宋体" w:eastAsia="宋体"/>
                <w:sz w:val="20"/>
              </w:rPr>
              <w:t>43.1%</w:t>
            </w:r>
          </w:p>
        </w:tc>
        <w:tc>
          <w:tcPr>
            <w:tcW w:w="1727" w:type="dxa"/>
          </w:tcPr>
          <w:p w14:paraId="723E5CF1">
            <w:pPr>
              <w:spacing w:after="0"/>
              <w:jc w:val="center"/>
            </w:pPr>
            <w:r>
              <w:rPr>
                <w:rFonts w:ascii="宋体" w:hAnsi="宋体" w:eastAsia="宋体"/>
                <w:sz w:val="20"/>
              </w:rPr>
              <w:t>48.1%</w:t>
            </w:r>
          </w:p>
        </w:tc>
        <w:tc>
          <w:tcPr>
            <w:tcW w:w="1727" w:type="dxa"/>
          </w:tcPr>
          <w:p w14:paraId="4A8FE304">
            <w:pPr>
              <w:spacing w:after="0"/>
              <w:jc w:val="center"/>
            </w:pPr>
            <w:r>
              <w:rPr>
                <w:rFonts w:ascii="宋体" w:hAnsi="宋体" w:eastAsia="宋体"/>
                <w:sz w:val="20"/>
              </w:rPr>
              <w:t>52.9%</w:t>
            </w:r>
          </w:p>
        </w:tc>
        <w:tc>
          <w:tcPr>
            <w:tcW w:w="1727" w:type="dxa"/>
          </w:tcPr>
          <w:p w14:paraId="49BE5E11">
            <w:pPr>
              <w:spacing w:after="0"/>
              <w:jc w:val="center"/>
            </w:pPr>
            <w:r>
              <w:rPr>
                <w:rFonts w:ascii="宋体" w:hAnsi="宋体" w:eastAsia="宋体"/>
                <w:sz w:val="20"/>
              </w:rPr>
              <w:t>+4.8pct</w:t>
            </w:r>
          </w:p>
        </w:tc>
      </w:tr>
      <w:tr w14:paraId="29F0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8D325E1">
            <w:pPr>
              <w:spacing w:after="0"/>
              <w:jc w:val="center"/>
            </w:pPr>
            <w:r>
              <w:rPr>
                <w:rFonts w:ascii="宋体" w:hAnsi="宋体" w:eastAsia="宋体"/>
                <w:sz w:val="20"/>
              </w:rPr>
              <w:t>经营利润（Non-IFRS，亿元）</w:t>
            </w:r>
          </w:p>
        </w:tc>
        <w:tc>
          <w:tcPr>
            <w:tcW w:w="1727" w:type="dxa"/>
          </w:tcPr>
          <w:p w14:paraId="0ECB6E3A">
            <w:pPr>
              <w:spacing w:after="0"/>
              <w:jc w:val="center"/>
            </w:pPr>
            <w:r>
              <w:rPr>
                <w:rFonts w:ascii="宋体" w:hAnsi="宋体" w:eastAsia="宋体"/>
                <w:sz w:val="20"/>
              </w:rPr>
              <w:t>1,534</w:t>
            </w:r>
          </w:p>
        </w:tc>
        <w:tc>
          <w:tcPr>
            <w:tcW w:w="1727" w:type="dxa"/>
          </w:tcPr>
          <w:p w14:paraId="3D2BB970">
            <w:pPr>
              <w:spacing w:after="0"/>
              <w:jc w:val="center"/>
            </w:pPr>
            <w:r>
              <w:rPr>
                <w:rFonts w:ascii="宋体" w:hAnsi="宋体" w:eastAsia="宋体"/>
                <w:sz w:val="20"/>
              </w:rPr>
              <w:t>1,919</w:t>
            </w:r>
          </w:p>
        </w:tc>
        <w:tc>
          <w:tcPr>
            <w:tcW w:w="1727" w:type="dxa"/>
          </w:tcPr>
          <w:p w14:paraId="37C19219">
            <w:pPr>
              <w:spacing w:after="0"/>
              <w:jc w:val="center"/>
            </w:pPr>
            <w:r>
              <w:rPr>
                <w:rFonts w:ascii="宋体" w:hAnsi="宋体" w:eastAsia="宋体"/>
                <w:sz w:val="20"/>
              </w:rPr>
              <w:t>2,378</w:t>
            </w:r>
          </w:p>
        </w:tc>
        <w:tc>
          <w:tcPr>
            <w:tcW w:w="1727" w:type="dxa"/>
          </w:tcPr>
          <w:p w14:paraId="5D4B2FC1">
            <w:pPr>
              <w:spacing w:after="0"/>
              <w:jc w:val="center"/>
            </w:pPr>
            <w:r>
              <w:rPr>
                <w:rFonts w:ascii="宋体" w:hAnsi="宋体" w:eastAsia="宋体"/>
                <w:sz w:val="20"/>
              </w:rPr>
              <w:t>+24%</w:t>
            </w:r>
          </w:p>
        </w:tc>
      </w:tr>
      <w:tr w14:paraId="3B6CA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75D6C36">
            <w:pPr>
              <w:spacing w:after="0"/>
              <w:jc w:val="center"/>
            </w:pPr>
            <w:r>
              <w:rPr>
                <w:rFonts w:ascii="宋体" w:hAnsi="宋体" w:eastAsia="宋体"/>
                <w:sz w:val="20"/>
              </w:rPr>
              <w:t>归母净利润（亿元）</w:t>
            </w:r>
          </w:p>
        </w:tc>
        <w:tc>
          <w:tcPr>
            <w:tcW w:w="1727" w:type="dxa"/>
          </w:tcPr>
          <w:p w14:paraId="44BA269C">
            <w:pPr>
              <w:spacing w:after="0"/>
              <w:jc w:val="center"/>
            </w:pPr>
            <w:r>
              <w:rPr>
                <w:rFonts w:ascii="宋体" w:hAnsi="宋体" w:eastAsia="宋体"/>
                <w:sz w:val="20"/>
              </w:rPr>
              <w:t>1,156</w:t>
            </w:r>
          </w:p>
        </w:tc>
        <w:tc>
          <w:tcPr>
            <w:tcW w:w="1727" w:type="dxa"/>
          </w:tcPr>
          <w:p w14:paraId="17EE43F7">
            <w:pPr>
              <w:spacing w:after="0"/>
              <w:jc w:val="center"/>
            </w:pPr>
            <w:r>
              <w:rPr>
                <w:rFonts w:ascii="宋体" w:hAnsi="宋体" w:eastAsia="宋体"/>
                <w:sz w:val="20"/>
              </w:rPr>
              <w:t>1,152</w:t>
            </w:r>
          </w:p>
        </w:tc>
        <w:tc>
          <w:tcPr>
            <w:tcW w:w="1727" w:type="dxa"/>
          </w:tcPr>
          <w:p w14:paraId="2C9FF1EF">
            <w:pPr>
              <w:spacing w:after="0"/>
              <w:jc w:val="center"/>
            </w:pPr>
            <w:r>
              <w:rPr>
                <w:rFonts w:ascii="宋体" w:hAnsi="宋体" w:eastAsia="宋体"/>
                <w:sz w:val="20"/>
              </w:rPr>
              <w:t>1,941</w:t>
            </w:r>
          </w:p>
        </w:tc>
        <w:tc>
          <w:tcPr>
            <w:tcW w:w="1727" w:type="dxa"/>
          </w:tcPr>
          <w:p w14:paraId="4B24653E">
            <w:pPr>
              <w:spacing w:after="0"/>
              <w:jc w:val="center"/>
            </w:pPr>
            <w:r>
              <w:rPr>
                <w:rFonts w:ascii="宋体" w:hAnsi="宋体" w:eastAsia="宋体"/>
                <w:sz w:val="20"/>
              </w:rPr>
              <w:t>+68%</w:t>
            </w:r>
          </w:p>
        </w:tc>
      </w:tr>
      <w:tr w14:paraId="1CAA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0A1F593">
            <w:pPr>
              <w:spacing w:after="0"/>
              <w:jc w:val="center"/>
            </w:pPr>
            <w:r>
              <w:rPr>
                <w:rFonts w:ascii="宋体" w:hAnsi="宋体" w:eastAsia="宋体"/>
                <w:sz w:val="20"/>
              </w:rPr>
              <w:t>Non-IFRS归母净利润（亿元）</w:t>
            </w:r>
          </w:p>
        </w:tc>
        <w:tc>
          <w:tcPr>
            <w:tcW w:w="1727" w:type="dxa"/>
          </w:tcPr>
          <w:p w14:paraId="2B5CE939">
            <w:pPr>
              <w:spacing w:after="0"/>
              <w:jc w:val="center"/>
            </w:pPr>
            <w:r>
              <w:rPr>
                <w:rFonts w:ascii="宋体" w:hAnsi="宋体" w:eastAsia="宋体"/>
                <w:sz w:val="20"/>
              </w:rPr>
              <w:t>1,157</w:t>
            </w:r>
          </w:p>
        </w:tc>
        <w:tc>
          <w:tcPr>
            <w:tcW w:w="1727" w:type="dxa"/>
          </w:tcPr>
          <w:p w14:paraId="3CEBD5EE">
            <w:pPr>
              <w:spacing w:after="0"/>
              <w:jc w:val="center"/>
            </w:pPr>
            <w:r>
              <w:rPr>
                <w:rFonts w:ascii="宋体" w:hAnsi="宋体" w:eastAsia="宋体"/>
                <w:sz w:val="20"/>
              </w:rPr>
              <w:t>1,576</w:t>
            </w:r>
          </w:p>
        </w:tc>
        <w:tc>
          <w:tcPr>
            <w:tcW w:w="1727" w:type="dxa"/>
          </w:tcPr>
          <w:p w14:paraId="4CE7D564">
            <w:pPr>
              <w:spacing w:after="0"/>
              <w:jc w:val="center"/>
            </w:pPr>
            <w:r>
              <w:rPr>
                <w:rFonts w:ascii="宋体" w:hAnsi="宋体" w:eastAsia="宋体"/>
                <w:sz w:val="20"/>
              </w:rPr>
              <w:t>2,227</w:t>
            </w:r>
          </w:p>
        </w:tc>
        <w:tc>
          <w:tcPr>
            <w:tcW w:w="1727" w:type="dxa"/>
          </w:tcPr>
          <w:p w14:paraId="3C87D74A">
            <w:pPr>
              <w:spacing w:after="0"/>
              <w:jc w:val="center"/>
            </w:pPr>
            <w:r>
              <w:rPr>
                <w:rFonts w:ascii="宋体" w:hAnsi="宋体" w:eastAsia="宋体"/>
                <w:sz w:val="20"/>
              </w:rPr>
              <w:t>+41%</w:t>
            </w:r>
          </w:p>
        </w:tc>
      </w:tr>
      <w:tr w14:paraId="18F3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51DB4F53">
            <w:pPr>
              <w:spacing w:after="0"/>
              <w:jc w:val="center"/>
            </w:pPr>
            <w:r>
              <w:rPr>
                <w:rFonts w:ascii="宋体" w:hAnsi="宋体" w:eastAsia="宋体"/>
                <w:sz w:val="20"/>
              </w:rPr>
              <w:t>经营活动现金流（亿元）</w:t>
            </w:r>
          </w:p>
        </w:tc>
        <w:tc>
          <w:tcPr>
            <w:tcW w:w="1727" w:type="dxa"/>
          </w:tcPr>
          <w:p w14:paraId="2BD5E874">
            <w:pPr>
              <w:spacing w:after="0"/>
              <w:jc w:val="center"/>
            </w:pPr>
            <w:r>
              <w:rPr>
                <w:rFonts w:ascii="宋体" w:hAnsi="宋体" w:eastAsia="宋体"/>
                <w:sz w:val="20"/>
              </w:rPr>
              <w:t>1,665</w:t>
            </w:r>
          </w:p>
        </w:tc>
        <w:tc>
          <w:tcPr>
            <w:tcW w:w="1727" w:type="dxa"/>
          </w:tcPr>
          <w:p w14:paraId="41747790">
            <w:pPr>
              <w:spacing w:after="0"/>
              <w:jc w:val="center"/>
            </w:pPr>
            <w:r>
              <w:rPr>
                <w:rFonts w:ascii="宋体" w:hAnsi="宋体" w:eastAsia="宋体"/>
                <w:sz w:val="20"/>
              </w:rPr>
              <w:t>2,219</w:t>
            </w:r>
          </w:p>
        </w:tc>
        <w:tc>
          <w:tcPr>
            <w:tcW w:w="1727" w:type="dxa"/>
          </w:tcPr>
          <w:p w14:paraId="2A468FE8">
            <w:pPr>
              <w:spacing w:after="0"/>
              <w:jc w:val="center"/>
            </w:pPr>
            <w:r>
              <w:rPr>
                <w:rFonts w:ascii="宋体" w:hAnsi="宋体" w:eastAsia="宋体"/>
                <w:sz w:val="20"/>
              </w:rPr>
              <w:t>2,585</w:t>
            </w:r>
          </w:p>
        </w:tc>
        <w:tc>
          <w:tcPr>
            <w:tcW w:w="1727" w:type="dxa"/>
          </w:tcPr>
          <w:p w14:paraId="40BB0FC2">
            <w:pPr>
              <w:spacing w:after="0"/>
              <w:jc w:val="center"/>
            </w:pPr>
            <w:r>
              <w:rPr>
                <w:rFonts w:ascii="宋体" w:hAnsi="宋体" w:eastAsia="宋体"/>
                <w:sz w:val="20"/>
              </w:rPr>
              <w:t>+16.5%</w:t>
            </w:r>
          </w:p>
        </w:tc>
      </w:tr>
      <w:tr w14:paraId="5A28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E240058">
            <w:pPr>
              <w:spacing w:after="0"/>
              <w:jc w:val="center"/>
            </w:pPr>
            <w:r>
              <w:rPr>
                <w:rFonts w:ascii="宋体" w:hAnsi="宋体" w:eastAsia="宋体"/>
                <w:sz w:val="20"/>
              </w:rPr>
              <w:t>自由现金流（亿元）</w:t>
            </w:r>
          </w:p>
        </w:tc>
        <w:tc>
          <w:tcPr>
            <w:tcW w:w="1727" w:type="dxa"/>
          </w:tcPr>
          <w:p w14:paraId="139B1153">
            <w:pPr>
              <w:spacing w:after="0"/>
              <w:jc w:val="center"/>
            </w:pPr>
            <w:r>
              <w:rPr>
                <w:rFonts w:ascii="宋体" w:hAnsi="宋体" w:eastAsia="宋体"/>
                <w:sz w:val="20"/>
              </w:rPr>
              <w:t>1,073</w:t>
            </w:r>
          </w:p>
        </w:tc>
        <w:tc>
          <w:tcPr>
            <w:tcW w:w="1727" w:type="dxa"/>
          </w:tcPr>
          <w:p w14:paraId="4FB2C1C3">
            <w:pPr>
              <w:spacing w:after="0"/>
              <w:jc w:val="center"/>
            </w:pPr>
            <w:r>
              <w:rPr>
                <w:rFonts w:ascii="宋体" w:hAnsi="宋体" w:eastAsia="宋体"/>
                <w:sz w:val="20"/>
              </w:rPr>
              <w:t>1,670</w:t>
            </w:r>
          </w:p>
        </w:tc>
        <w:tc>
          <w:tcPr>
            <w:tcW w:w="1727" w:type="dxa"/>
          </w:tcPr>
          <w:p w14:paraId="5C020390">
            <w:pPr>
              <w:spacing w:after="0"/>
              <w:jc w:val="center"/>
            </w:pPr>
            <w:r>
              <w:rPr>
                <w:rFonts w:ascii="宋体" w:hAnsi="宋体" w:eastAsia="宋体"/>
                <w:sz w:val="20"/>
              </w:rPr>
              <w:t>1,553</w:t>
            </w:r>
          </w:p>
        </w:tc>
        <w:tc>
          <w:tcPr>
            <w:tcW w:w="1727" w:type="dxa"/>
          </w:tcPr>
          <w:p w14:paraId="734622D3">
            <w:pPr>
              <w:spacing w:after="0"/>
              <w:jc w:val="center"/>
            </w:pPr>
            <w:r>
              <w:rPr>
                <w:rFonts w:ascii="宋体" w:hAnsi="宋体" w:eastAsia="宋体"/>
                <w:sz w:val="20"/>
              </w:rPr>
              <w:t>-7%</w:t>
            </w:r>
          </w:p>
        </w:tc>
      </w:tr>
      <w:tr w14:paraId="2D7BA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9F45241">
            <w:pPr>
              <w:spacing w:after="0"/>
              <w:jc w:val="center"/>
            </w:pPr>
            <w:r>
              <w:rPr>
                <w:rFonts w:ascii="宋体" w:hAnsi="宋体" w:eastAsia="宋体"/>
                <w:sz w:val="20"/>
              </w:rPr>
              <w:t>总资产（亿元）</w:t>
            </w:r>
          </w:p>
        </w:tc>
        <w:tc>
          <w:tcPr>
            <w:tcW w:w="1727" w:type="dxa"/>
          </w:tcPr>
          <w:p w14:paraId="1016420F">
            <w:pPr>
              <w:spacing w:after="0"/>
              <w:jc w:val="center"/>
            </w:pPr>
            <w:r>
              <w:rPr>
                <w:rFonts w:ascii="宋体" w:hAnsi="宋体" w:eastAsia="宋体"/>
                <w:sz w:val="20"/>
              </w:rPr>
              <w:t>15,787</w:t>
            </w:r>
          </w:p>
        </w:tc>
        <w:tc>
          <w:tcPr>
            <w:tcW w:w="1727" w:type="dxa"/>
          </w:tcPr>
          <w:p w14:paraId="1FC6C6EC">
            <w:pPr>
              <w:spacing w:after="0"/>
              <w:jc w:val="center"/>
            </w:pPr>
            <w:r>
              <w:rPr>
                <w:rFonts w:ascii="宋体" w:hAnsi="宋体" w:eastAsia="宋体"/>
                <w:sz w:val="20"/>
              </w:rPr>
              <w:t>15,772</w:t>
            </w:r>
          </w:p>
        </w:tc>
        <w:tc>
          <w:tcPr>
            <w:tcW w:w="1727" w:type="dxa"/>
          </w:tcPr>
          <w:p w14:paraId="0896E503">
            <w:pPr>
              <w:spacing w:after="0"/>
              <w:jc w:val="center"/>
            </w:pPr>
            <w:r>
              <w:rPr>
                <w:rFonts w:ascii="宋体" w:hAnsi="宋体" w:eastAsia="宋体"/>
                <w:sz w:val="20"/>
              </w:rPr>
              <w:t>17,810</w:t>
            </w:r>
          </w:p>
        </w:tc>
        <w:tc>
          <w:tcPr>
            <w:tcW w:w="1727" w:type="dxa"/>
          </w:tcPr>
          <w:p w14:paraId="7CBEAE02">
            <w:pPr>
              <w:spacing w:after="0"/>
              <w:jc w:val="center"/>
            </w:pPr>
            <w:r>
              <w:rPr>
                <w:rFonts w:ascii="宋体" w:hAnsi="宋体" w:eastAsia="宋体"/>
                <w:sz w:val="20"/>
              </w:rPr>
              <w:t>+12.9%</w:t>
            </w:r>
          </w:p>
        </w:tc>
      </w:tr>
      <w:tr w14:paraId="701E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6C94C9E">
            <w:pPr>
              <w:spacing w:after="0"/>
              <w:jc w:val="center"/>
            </w:pPr>
            <w:r>
              <w:rPr>
                <w:rFonts w:ascii="宋体" w:hAnsi="宋体" w:eastAsia="宋体"/>
                <w:sz w:val="20"/>
              </w:rPr>
              <w:t>资产负债率</w:t>
            </w:r>
          </w:p>
        </w:tc>
        <w:tc>
          <w:tcPr>
            <w:tcW w:w="1727" w:type="dxa"/>
          </w:tcPr>
          <w:p w14:paraId="18140054">
            <w:pPr>
              <w:spacing w:after="0"/>
              <w:jc w:val="center"/>
            </w:pPr>
            <w:r>
              <w:rPr>
                <w:rFonts w:ascii="宋体" w:hAnsi="宋体" w:eastAsia="宋体"/>
                <w:sz w:val="20"/>
              </w:rPr>
              <w:t>49.7%</w:t>
            </w:r>
          </w:p>
        </w:tc>
        <w:tc>
          <w:tcPr>
            <w:tcW w:w="1727" w:type="dxa"/>
          </w:tcPr>
          <w:p w14:paraId="0854EDCC">
            <w:pPr>
              <w:spacing w:after="0"/>
              <w:jc w:val="center"/>
            </w:pPr>
            <w:r>
              <w:rPr>
                <w:rFonts w:ascii="宋体" w:hAnsi="宋体" w:eastAsia="宋体"/>
                <w:sz w:val="20"/>
              </w:rPr>
              <w:t>44.6%</w:t>
            </w:r>
          </w:p>
        </w:tc>
        <w:tc>
          <w:tcPr>
            <w:tcW w:w="1727" w:type="dxa"/>
          </w:tcPr>
          <w:p w14:paraId="57831571">
            <w:pPr>
              <w:spacing w:after="0"/>
              <w:jc w:val="center"/>
            </w:pPr>
            <w:r>
              <w:rPr>
                <w:rFonts w:ascii="宋体" w:hAnsi="宋体" w:eastAsia="宋体"/>
                <w:sz w:val="20"/>
              </w:rPr>
              <w:t>40.8%</w:t>
            </w:r>
          </w:p>
        </w:tc>
        <w:tc>
          <w:tcPr>
            <w:tcW w:w="1727" w:type="dxa"/>
          </w:tcPr>
          <w:p w14:paraId="58E2E1A8">
            <w:pPr>
              <w:spacing w:after="0"/>
              <w:jc w:val="center"/>
            </w:pPr>
            <w:r>
              <w:rPr>
                <w:rFonts w:ascii="宋体" w:hAnsi="宋体" w:eastAsia="宋体"/>
                <w:sz w:val="20"/>
              </w:rPr>
              <w:t>-3.8pct</w:t>
            </w:r>
          </w:p>
        </w:tc>
      </w:tr>
      <w:tr w14:paraId="435D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38102EC0">
            <w:pPr>
              <w:spacing w:after="0"/>
              <w:jc w:val="center"/>
            </w:pPr>
            <w:r>
              <w:rPr>
                <w:rFonts w:ascii="宋体" w:hAnsi="宋体" w:eastAsia="宋体"/>
                <w:sz w:val="20"/>
              </w:rPr>
              <w:t>微信月活（亿）</w:t>
            </w:r>
          </w:p>
        </w:tc>
        <w:tc>
          <w:tcPr>
            <w:tcW w:w="1727" w:type="dxa"/>
          </w:tcPr>
          <w:p w14:paraId="168DD3A2">
            <w:pPr>
              <w:spacing w:after="0"/>
              <w:jc w:val="center"/>
            </w:pPr>
            <w:r>
              <w:rPr>
                <w:rFonts w:ascii="宋体" w:hAnsi="宋体" w:eastAsia="宋体"/>
                <w:sz w:val="20"/>
              </w:rPr>
              <w:t>13.13</w:t>
            </w:r>
          </w:p>
        </w:tc>
        <w:tc>
          <w:tcPr>
            <w:tcW w:w="1727" w:type="dxa"/>
          </w:tcPr>
          <w:p w14:paraId="227B0EB5">
            <w:pPr>
              <w:spacing w:after="0"/>
              <w:jc w:val="center"/>
            </w:pPr>
            <w:r>
              <w:rPr>
                <w:rFonts w:ascii="宋体" w:hAnsi="宋体" w:eastAsia="宋体"/>
                <w:sz w:val="20"/>
              </w:rPr>
              <w:t>13.43</w:t>
            </w:r>
          </w:p>
        </w:tc>
        <w:tc>
          <w:tcPr>
            <w:tcW w:w="1727" w:type="dxa"/>
          </w:tcPr>
          <w:p w14:paraId="707EEBF5">
            <w:pPr>
              <w:spacing w:after="0"/>
              <w:jc w:val="center"/>
            </w:pPr>
            <w:r>
              <w:rPr>
                <w:rFonts w:ascii="宋体" w:hAnsi="宋体" w:eastAsia="宋体"/>
                <w:sz w:val="20"/>
              </w:rPr>
              <w:t>13.85</w:t>
            </w:r>
          </w:p>
        </w:tc>
        <w:tc>
          <w:tcPr>
            <w:tcW w:w="1727" w:type="dxa"/>
          </w:tcPr>
          <w:p w14:paraId="6B1C322E">
            <w:pPr>
              <w:spacing w:after="0"/>
              <w:jc w:val="center"/>
            </w:pPr>
            <w:r>
              <w:rPr>
                <w:rFonts w:ascii="宋体" w:hAnsi="宋体" w:eastAsia="宋体"/>
                <w:sz w:val="20"/>
              </w:rPr>
              <w:t>+3%</w:t>
            </w:r>
          </w:p>
        </w:tc>
      </w:tr>
      <w:tr w14:paraId="35B2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43B46F0B">
            <w:pPr>
              <w:spacing w:after="0"/>
              <w:jc w:val="center"/>
            </w:pPr>
            <w:r>
              <w:rPr>
                <w:rFonts w:ascii="宋体" w:hAnsi="宋体" w:eastAsia="宋体"/>
                <w:sz w:val="20"/>
              </w:rPr>
              <w:t>员工人数</w:t>
            </w:r>
          </w:p>
        </w:tc>
        <w:tc>
          <w:tcPr>
            <w:tcW w:w="1727" w:type="dxa"/>
          </w:tcPr>
          <w:p w14:paraId="70EA55BD">
            <w:pPr>
              <w:spacing w:after="0"/>
              <w:jc w:val="center"/>
            </w:pPr>
            <w:r>
              <w:rPr>
                <w:rFonts w:ascii="宋体" w:hAnsi="宋体" w:eastAsia="宋体"/>
                <w:sz w:val="20"/>
              </w:rPr>
              <w:t>108,436</w:t>
            </w:r>
          </w:p>
        </w:tc>
        <w:tc>
          <w:tcPr>
            <w:tcW w:w="1727" w:type="dxa"/>
          </w:tcPr>
          <w:p w14:paraId="40F5E12A">
            <w:pPr>
              <w:spacing w:after="0"/>
              <w:jc w:val="center"/>
            </w:pPr>
            <w:r>
              <w:rPr>
                <w:rFonts w:ascii="宋体" w:hAnsi="宋体" w:eastAsia="宋体"/>
                <w:sz w:val="20"/>
              </w:rPr>
              <w:t>105,417</w:t>
            </w:r>
          </w:p>
        </w:tc>
        <w:tc>
          <w:tcPr>
            <w:tcW w:w="1727" w:type="dxa"/>
          </w:tcPr>
          <w:p w14:paraId="7733AFB9">
            <w:pPr>
              <w:spacing w:after="0"/>
              <w:jc w:val="center"/>
            </w:pPr>
            <w:r>
              <w:rPr>
                <w:rFonts w:ascii="宋体" w:hAnsi="宋体" w:eastAsia="宋体"/>
                <w:sz w:val="20"/>
              </w:rPr>
              <w:t>110,558</w:t>
            </w:r>
          </w:p>
        </w:tc>
        <w:tc>
          <w:tcPr>
            <w:tcW w:w="1727" w:type="dxa"/>
          </w:tcPr>
          <w:p w14:paraId="7D17D0A3">
            <w:pPr>
              <w:spacing w:after="0"/>
              <w:jc w:val="center"/>
            </w:pPr>
            <w:r>
              <w:rPr>
                <w:rFonts w:ascii="宋体" w:hAnsi="宋体" w:eastAsia="宋体"/>
                <w:sz w:val="20"/>
              </w:rPr>
              <w:t>+4.9%</w:t>
            </w:r>
          </w:p>
        </w:tc>
      </w:tr>
    </w:tbl>
    <w:p w14:paraId="18E60873"/>
    <w:p w14:paraId="111EBACB">
      <w:pPr>
        <w:pStyle w:val="4"/>
      </w:pPr>
      <w:bookmarkStart w:id="43" w:name="_Toc14811"/>
      <w:r>
        <w:rPr>
          <w:rFonts w:ascii="黑体" w:hAnsi="黑体" w:eastAsia="黑体"/>
          <w:sz w:val="28"/>
        </w:rPr>
        <w:t>附录B：重大风险清单汇总表</w:t>
      </w:r>
      <w:bookmarkEnd w:id="43"/>
    </w:p>
    <w:p w14:paraId="32D27FC6">
      <w:pPr>
        <w:spacing w:line="360" w:lineRule="auto"/>
      </w:pPr>
      <w:r>
        <w:rPr>
          <w:rFonts w:ascii="宋体" w:hAnsi="宋体" w:eastAsia="宋体"/>
          <w:b/>
          <w:sz w:val="24"/>
        </w:rPr>
        <w:t>表B-1：腾讯重大风险清单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743E0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shd w:val="clear" w:color="auto" w:fill="D9E2F3"/>
          </w:tcPr>
          <w:p w14:paraId="712FE14D">
            <w:pPr>
              <w:spacing w:after="0"/>
              <w:jc w:val="center"/>
            </w:pPr>
            <w:r>
              <w:rPr>
                <w:rFonts w:ascii="宋体" w:hAnsi="宋体" w:eastAsia="宋体"/>
                <w:b/>
                <w:sz w:val="20"/>
              </w:rPr>
              <w:t>编号</w:t>
            </w:r>
          </w:p>
        </w:tc>
        <w:tc>
          <w:tcPr>
            <w:tcW w:w="1439" w:type="dxa"/>
            <w:shd w:val="clear" w:color="auto" w:fill="D9E2F3"/>
          </w:tcPr>
          <w:p w14:paraId="6EA40495">
            <w:pPr>
              <w:spacing w:after="0"/>
              <w:jc w:val="center"/>
            </w:pPr>
            <w:r>
              <w:rPr>
                <w:rFonts w:ascii="宋体" w:hAnsi="宋体" w:eastAsia="宋体"/>
                <w:b/>
                <w:sz w:val="20"/>
              </w:rPr>
              <w:t>风险名称</w:t>
            </w:r>
          </w:p>
        </w:tc>
        <w:tc>
          <w:tcPr>
            <w:tcW w:w="1439" w:type="dxa"/>
            <w:shd w:val="clear" w:color="auto" w:fill="D9E2F3"/>
          </w:tcPr>
          <w:p w14:paraId="3FF88539">
            <w:pPr>
              <w:spacing w:after="0"/>
              <w:jc w:val="center"/>
            </w:pPr>
            <w:r>
              <w:rPr>
                <w:rFonts w:ascii="宋体" w:hAnsi="宋体" w:eastAsia="宋体"/>
                <w:b/>
                <w:sz w:val="20"/>
              </w:rPr>
              <w:t>风险等级</w:t>
            </w:r>
          </w:p>
        </w:tc>
        <w:tc>
          <w:tcPr>
            <w:tcW w:w="1439" w:type="dxa"/>
            <w:shd w:val="clear" w:color="auto" w:fill="D9E2F3"/>
          </w:tcPr>
          <w:p w14:paraId="2E791422">
            <w:pPr>
              <w:spacing w:after="0"/>
              <w:jc w:val="center"/>
            </w:pPr>
            <w:r>
              <w:rPr>
                <w:rFonts w:ascii="宋体" w:hAnsi="宋体" w:eastAsia="宋体"/>
                <w:b/>
                <w:sz w:val="20"/>
              </w:rPr>
              <w:t>应对策略</w:t>
            </w:r>
          </w:p>
        </w:tc>
        <w:tc>
          <w:tcPr>
            <w:tcW w:w="1439" w:type="dxa"/>
            <w:shd w:val="clear" w:color="auto" w:fill="D9E2F3"/>
          </w:tcPr>
          <w:p w14:paraId="62871292">
            <w:pPr>
              <w:spacing w:after="0"/>
              <w:jc w:val="center"/>
            </w:pPr>
            <w:r>
              <w:rPr>
                <w:rFonts w:ascii="宋体" w:hAnsi="宋体" w:eastAsia="宋体"/>
                <w:b/>
                <w:sz w:val="20"/>
              </w:rPr>
              <w:t>责任主体</w:t>
            </w:r>
          </w:p>
        </w:tc>
        <w:tc>
          <w:tcPr>
            <w:tcW w:w="1439" w:type="dxa"/>
            <w:shd w:val="clear" w:color="auto" w:fill="D9E2F3"/>
          </w:tcPr>
          <w:p w14:paraId="14F4D81E">
            <w:pPr>
              <w:spacing w:after="0"/>
              <w:jc w:val="center"/>
            </w:pPr>
            <w:r>
              <w:rPr>
                <w:rFonts w:ascii="宋体" w:hAnsi="宋体" w:eastAsia="宋体"/>
                <w:b/>
                <w:sz w:val="20"/>
              </w:rPr>
              <w:t>监控频率</w:t>
            </w:r>
          </w:p>
        </w:tc>
      </w:tr>
      <w:tr w14:paraId="0E0D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4B3DA4E5">
            <w:pPr>
              <w:spacing w:after="0"/>
              <w:jc w:val="center"/>
            </w:pPr>
            <w:r>
              <w:rPr>
                <w:rFonts w:ascii="宋体" w:hAnsi="宋体" w:eastAsia="宋体"/>
                <w:sz w:val="20"/>
              </w:rPr>
              <w:t>R1</w:t>
            </w:r>
          </w:p>
        </w:tc>
        <w:tc>
          <w:tcPr>
            <w:tcW w:w="1439" w:type="dxa"/>
          </w:tcPr>
          <w:p w14:paraId="3C6B793F">
            <w:pPr>
              <w:spacing w:after="0"/>
              <w:jc w:val="center"/>
            </w:pPr>
            <w:r>
              <w:rPr>
                <w:rFonts w:ascii="宋体" w:hAnsi="宋体" w:eastAsia="宋体"/>
                <w:sz w:val="20"/>
              </w:rPr>
              <w:t>监管与政策不确定性风险</w:t>
            </w:r>
          </w:p>
        </w:tc>
        <w:tc>
          <w:tcPr>
            <w:tcW w:w="1439" w:type="dxa"/>
          </w:tcPr>
          <w:p w14:paraId="339C9A86">
            <w:pPr>
              <w:spacing w:after="0"/>
              <w:jc w:val="center"/>
            </w:pPr>
            <w:r>
              <w:rPr>
                <w:rFonts w:ascii="宋体" w:hAnsi="宋体" w:eastAsia="宋体"/>
                <w:sz w:val="20"/>
              </w:rPr>
              <w:t>重大(16)</w:t>
            </w:r>
          </w:p>
        </w:tc>
        <w:tc>
          <w:tcPr>
            <w:tcW w:w="1439" w:type="dxa"/>
          </w:tcPr>
          <w:p w14:paraId="5DD049F0">
            <w:pPr>
              <w:spacing w:after="0"/>
              <w:jc w:val="center"/>
            </w:pPr>
            <w:r>
              <w:rPr>
                <w:rFonts w:ascii="宋体" w:hAnsi="宋体" w:eastAsia="宋体"/>
                <w:sz w:val="20"/>
              </w:rPr>
              <w:t>降低+规避</w:t>
            </w:r>
          </w:p>
        </w:tc>
        <w:tc>
          <w:tcPr>
            <w:tcW w:w="1439" w:type="dxa"/>
          </w:tcPr>
          <w:p w14:paraId="0A280F0F">
            <w:pPr>
              <w:spacing w:after="0"/>
              <w:jc w:val="center"/>
            </w:pPr>
            <w:r>
              <w:rPr>
                <w:rFonts w:ascii="宋体" w:hAnsi="宋体" w:eastAsia="宋体"/>
                <w:sz w:val="20"/>
              </w:rPr>
              <w:t>法务合规部/各BG</w:t>
            </w:r>
          </w:p>
        </w:tc>
        <w:tc>
          <w:tcPr>
            <w:tcW w:w="1439" w:type="dxa"/>
          </w:tcPr>
          <w:p w14:paraId="2DEA926C">
            <w:pPr>
              <w:spacing w:after="0"/>
              <w:jc w:val="center"/>
            </w:pPr>
            <w:r>
              <w:rPr>
                <w:rFonts w:ascii="宋体" w:hAnsi="宋体" w:eastAsia="宋体"/>
                <w:sz w:val="20"/>
              </w:rPr>
              <w:t>季度</w:t>
            </w:r>
          </w:p>
        </w:tc>
      </w:tr>
      <w:tr w14:paraId="0231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CDF3136">
            <w:pPr>
              <w:spacing w:after="0"/>
              <w:jc w:val="center"/>
            </w:pPr>
            <w:r>
              <w:rPr>
                <w:rFonts w:ascii="宋体" w:hAnsi="宋体" w:eastAsia="宋体"/>
                <w:sz w:val="20"/>
              </w:rPr>
              <w:t>R2</w:t>
            </w:r>
          </w:p>
        </w:tc>
        <w:tc>
          <w:tcPr>
            <w:tcW w:w="1439" w:type="dxa"/>
          </w:tcPr>
          <w:p w14:paraId="401C8D17">
            <w:pPr>
              <w:spacing w:after="0"/>
              <w:jc w:val="center"/>
            </w:pPr>
            <w:r>
              <w:rPr>
                <w:rFonts w:ascii="宋体" w:hAnsi="宋体" w:eastAsia="宋体"/>
                <w:sz w:val="20"/>
              </w:rPr>
              <w:t>行业竞争加剧风险</w:t>
            </w:r>
          </w:p>
        </w:tc>
        <w:tc>
          <w:tcPr>
            <w:tcW w:w="1439" w:type="dxa"/>
          </w:tcPr>
          <w:p w14:paraId="15A00E49">
            <w:pPr>
              <w:spacing w:after="0"/>
              <w:jc w:val="center"/>
            </w:pPr>
            <w:r>
              <w:rPr>
                <w:rFonts w:ascii="宋体" w:hAnsi="宋体" w:eastAsia="宋体"/>
                <w:sz w:val="20"/>
              </w:rPr>
              <w:t>重大(16)</w:t>
            </w:r>
          </w:p>
        </w:tc>
        <w:tc>
          <w:tcPr>
            <w:tcW w:w="1439" w:type="dxa"/>
          </w:tcPr>
          <w:p w14:paraId="42F7C41E">
            <w:pPr>
              <w:spacing w:after="0"/>
              <w:jc w:val="center"/>
            </w:pPr>
            <w:r>
              <w:rPr>
                <w:rFonts w:ascii="宋体" w:hAnsi="宋体" w:eastAsia="宋体"/>
                <w:sz w:val="20"/>
              </w:rPr>
              <w:t>降低</w:t>
            </w:r>
          </w:p>
        </w:tc>
        <w:tc>
          <w:tcPr>
            <w:tcW w:w="1439" w:type="dxa"/>
          </w:tcPr>
          <w:p w14:paraId="710C22CC">
            <w:pPr>
              <w:spacing w:after="0"/>
              <w:jc w:val="center"/>
            </w:pPr>
            <w:r>
              <w:rPr>
                <w:rFonts w:ascii="宋体" w:hAnsi="宋体" w:eastAsia="宋体"/>
                <w:sz w:val="20"/>
              </w:rPr>
              <w:t>战略发展部/各BG</w:t>
            </w:r>
          </w:p>
        </w:tc>
        <w:tc>
          <w:tcPr>
            <w:tcW w:w="1439" w:type="dxa"/>
          </w:tcPr>
          <w:p w14:paraId="527E9204">
            <w:pPr>
              <w:spacing w:after="0"/>
              <w:jc w:val="center"/>
            </w:pPr>
            <w:r>
              <w:rPr>
                <w:rFonts w:ascii="宋体" w:hAnsi="宋体" w:eastAsia="宋体"/>
                <w:sz w:val="20"/>
              </w:rPr>
              <w:t>月度</w:t>
            </w:r>
          </w:p>
        </w:tc>
      </w:tr>
      <w:tr w14:paraId="419A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9DC627B">
            <w:pPr>
              <w:spacing w:after="0"/>
              <w:jc w:val="center"/>
            </w:pPr>
            <w:r>
              <w:rPr>
                <w:rFonts w:ascii="宋体" w:hAnsi="宋体" w:eastAsia="宋体"/>
                <w:sz w:val="20"/>
              </w:rPr>
              <w:t>R3</w:t>
            </w:r>
          </w:p>
        </w:tc>
        <w:tc>
          <w:tcPr>
            <w:tcW w:w="1439" w:type="dxa"/>
          </w:tcPr>
          <w:p w14:paraId="67263A8D">
            <w:pPr>
              <w:spacing w:after="0"/>
              <w:jc w:val="center"/>
            </w:pPr>
            <w:r>
              <w:rPr>
                <w:rFonts w:ascii="宋体" w:hAnsi="宋体" w:eastAsia="宋体"/>
                <w:sz w:val="20"/>
              </w:rPr>
              <w:t>地缘政治与制裁风险</w:t>
            </w:r>
          </w:p>
        </w:tc>
        <w:tc>
          <w:tcPr>
            <w:tcW w:w="1439" w:type="dxa"/>
          </w:tcPr>
          <w:p w14:paraId="4FAE2D39">
            <w:pPr>
              <w:spacing w:after="0"/>
              <w:jc w:val="center"/>
            </w:pPr>
            <w:r>
              <w:rPr>
                <w:rFonts w:ascii="宋体" w:hAnsi="宋体" w:eastAsia="宋体"/>
                <w:sz w:val="20"/>
              </w:rPr>
              <w:t>重大(15)</w:t>
            </w:r>
          </w:p>
        </w:tc>
        <w:tc>
          <w:tcPr>
            <w:tcW w:w="1439" w:type="dxa"/>
          </w:tcPr>
          <w:p w14:paraId="583A32EC">
            <w:pPr>
              <w:spacing w:after="0"/>
              <w:jc w:val="center"/>
            </w:pPr>
            <w:r>
              <w:rPr>
                <w:rFonts w:ascii="宋体" w:hAnsi="宋体" w:eastAsia="宋体"/>
                <w:sz w:val="20"/>
              </w:rPr>
              <w:t>降低+转移</w:t>
            </w:r>
          </w:p>
        </w:tc>
        <w:tc>
          <w:tcPr>
            <w:tcW w:w="1439" w:type="dxa"/>
          </w:tcPr>
          <w:p w14:paraId="35F91E5C">
            <w:pPr>
              <w:spacing w:after="0"/>
              <w:jc w:val="center"/>
            </w:pPr>
            <w:r>
              <w:rPr>
                <w:rFonts w:ascii="宋体" w:hAnsi="宋体" w:eastAsia="宋体"/>
                <w:sz w:val="20"/>
              </w:rPr>
              <w:t>投资者关系/法务部</w:t>
            </w:r>
          </w:p>
        </w:tc>
        <w:tc>
          <w:tcPr>
            <w:tcW w:w="1439" w:type="dxa"/>
          </w:tcPr>
          <w:p w14:paraId="75791071">
            <w:pPr>
              <w:spacing w:after="0"/>
              <w:jc w:val="center"/>
            </w:pPr>
            <w:r>
              <w:rPr>
                <w:rFonts w:ascii="宋体" w:hAnsi="宋体" w:eastAsia="宋体"/>
                <w:sz w:val="20"/>
              </w:rPr>
              <w:t>事件驱动+月度</w:t>
            </w:r>
          </w:p>
        </w:tc>
      </w:tr>
      <w:tr w14:paraId="630EE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6BF5C90D">
            <w:pPr>
              <w:spacing w:after="0"/>
              <w:jc w:val="center"/>
            </w:pPr>
            <w:r>
              <w:rPr>
                <w:rFonts w:ascii="宋体" w:hAnsi="宋体" w:eastAsia="宋体"/>
                <w:sz w:val="20"/>
              </w:rPr>
              <w:t>R4</w:t>
            </w:r>
          </w:p>
        </w:tc>
        <w:tc>
          <w:tcPr>
            <w:tcW w:w="1439" w:type="dxa"/>
          </w:tcPr>
          <w:p w14:paraId="55AB2F5E">
            <w:pPr>
              <w:spacing w:after="0"/>
              <w:jc w:val="center"/>
            </w:pPr>
            <w:r>
              <w:rPr>
                <w:rFonts w:ascii="宋体" w:hAnsi="宋体" w:eastAsia="宋体"/>
                <w:sz w:val="20"/>
              </w:rPr>
              <w:t>AI战略转型风险</w:t>
            </w:r>
          </w:p>
        </w:tc>
        <w:tc>
          <w:tcPr>
            <w:tcW w:w="1439" w:type="dxa"/>
          </w:tcPr>
          <w:p w14:paraId="486FD253">
            <w:pPr>
              <w:spacing w:after="0"/>
              <w:jc w:val="center"/>
            </w:pPr>
            <w:r>
              <w:rPr>
                <w:rFonts w:ascii="宋体" w:hAnsi="宋体" w:eastAsia="宋体"/>
                <w:sz w:val="20"/>
              </w:rPr>
              <w:t>高度关注(12)</w:t>
            </w:r>
          </w:p>
        </w:tc>
        <w:tc>
          <w:tcPr>
            <w:tcW w:w="1439" w:type="dxa"/>
          </w:tcPr>
          <w:p w14:paraId="6B718A9C">
            <w:pPr>
              <w:spacing w:after="0"/>
              <w:jc w:val="center"/>
            </w:pPr>
            <w:r>
              <w:rPr>
                <w:rFonts w:ascii="宋体" w:hAnsi="宋体" w:eastAsia="宋体"/>
                <w:sz w:val="20"/>
              </w:rPr>
              <w:t>降低</w:t>
            </w:r>
          </w:p>
        </w:tc>
        <w:tc>
          <w:tcPr>
            <w:tcW w:w="1439" w:type="dxa"/>
          </w:tcPr>
          <w:p w14:paraId="43DDCCBD">
            <w:pPr>
              <w:spacing w:after="0"/>
              <w:jc w:val="center"/>
            </w:pPr>
            <w:r>
              <w:rPr>
                <w:rFonts w:ascii="宋体" w:hAnsi="宋体" w:eastAsia="宋体"/>
                <w:sz w:val="20"/>
              </w:rPr>
              <w:t>TEG/战略发展部</w:t>
            </w:r>
          </w:p>
        </w:tc>
        <w:tc>
          <w:tcPr>
            <w:tcW w:w="1439" w:type="dxa"/>
          </w:tcPr>
          <w:p w14:paraId="30E82C1A">
            <w:pPr>
              <w:spacing w:after="0"/>
              <w:jc w:val="center"/>
            </w:pPr>
            <w:r>
              <w:rPr>
                <w:rFonts w:ascii="宋体" w:hAnsi="宋体" w:eastAsia="宋体"/>
                <w:sz w:val="20"/>
              </w:rPr>
              <w:t>季度</w:t>
            </w:r>
          </w:p>
        </w:tc>
      </w:tr>
      <w:tr w14:paraId="1C63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2C03D758">
            <w:pPr>
              <w:spacing w:after="0"/>
              <w:jc w:val="center"/>
            </w:pPr>
            <w:r>
              <w:rPr>
                <w:rFonts w:ascii="宋体" w:hAnsi="宋体" w:eastAsia="宋体"/>
                <w:sz w:val="20"/>
              </w:rPr>
              <w:t>R5</w:t>
            </w:r>
          </w:p>
        </w:tc>
        <w:tc>
          <w:tcPr>
            <w:tcW w:w="1439" w:type="dxa"/>
          </w:tcPr>
          <w:p w14:paraId="48B72A93">
            <w:pPr>
              <w:spacing w:after="0"/>
              <w:jc w:val="center"/>
            </w:pPr>
            <w:r>
              <w:rPr>
                <w:rFonts w:ascii="宋体" w:hAnsi="宋体" w:eastAsia="宋体"/>
                <w:sz w:val="20"/>
              </w:rPr>
              <w:t>游戏业务集中度风险</w:t>
            </w:r>
          </w:p>
        </w:tc>
        <w:tc>
          <w:tcPr>
            <w:tcW w:w="1439" w:type="dxa"/>
          </w:tcPr>
          <w:p w14:paraId="457F78D0">
            <w:pPr>
              <w:spacing w:after="0"/>
              <w:jc w:val="center"/>
            </w:pPr>
            <w:r>
              <w:rPr>
                <w:rFonts w:ascii="宋体" w:hAnsi="宋体" w:eastAsia="宋体"/>
                <w:sz w:val="20"/>
              </w:rPr>
              <w:t>一般(9)</w:t>
            </w:r>
          </w:p>
        </w:tc>
        <w:tc>
          <w:tcPr>
            <w:tcW w:w="1439" w:type="dxa"/>
          </w:tcPr>
          <w:p w14:paraId="7C40A623">
            <w:pPr>
              <w:spacing w:after="0"/>
              <w:jc w:val="center"/>
            </w:pPr>
            <w:r>
              <w:rPr>
                <w:rFonts w:ascii="宋体" w:hAnsi="宋体" w:eastAsia="宋体"/>
                <w:sz w:val="20"/>
              </w:rPr>
              <w:t>降低</w:t>
            </w:r>
          </w:p>
        </w:tc>
        <w:tc>
          <w:tcPr>
            <w:tcW w:w="1439" w:type="dxa"/>
          </w:tcPr>
          <w:p w14:paraId="4689B680">
            <w:pPr>
              <w:spacing w:after="0"/>
              <w:jc w:val="center"/>
            </w:pPr>
            <w:r>
              <w:rPr>
                <w:rFonts w:ascii="宋体" w:hAnsi="宋体" w:eastAsia="宋体"/>
                <w:sz w:val="20"/>
              </w:rPr>
              <w:t>IEG</w:t>
            </w:r>
          </w:p>
        </w:tc>
        <w:tc>
          <w:tcPr>
            <w:tcW w:w="1439" w:type="dxa"/>
          </w:tcPr>
          <w:p w14:paraId="3DE02ED6">
            <w:pPr>
              <w:spacing w:after="0"/>
              <w:jc w:val="center"/>
            </w:pPr>
            <w:r>
              <w:rPr>
                <w:rFonts w:ascii="宋体" w:hAnsi="宋体" w:eastAsia="宋体"/>
                <w:sz w:val="20"/>
              </w:rPr>
              <w:t>季度</w:t>
            </w:r>
          </w:p>
        </w:tc>
      </w:tr>
      <w:tr w14:paraId="11DA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5C1B7DDA">
            <w:pPr>
              <w:spacing w:after="0"/>
              <w:jc w:val="center"/>
            </w:pPr>
            <w:r>
              <w:rPr>
                <w:rFonts w:ascii="宋体" w:hAnsi="宋体" w:eastAsia="宋体"/>
                <w:sz w:val="20"/>
              </w:rPr>
              <w:t>R6</w:t>
            </w:r>
          </w:p>
        </w:tc>
        <w:tc>
          <w:tcPr>
            <w:tcW w:w="1439" w:type="dxa"/>
          </w:tcPr>
          <w:p w14:paraId="131838AD">
            <w:pPr>
              <w:spacing w:after="0"/>
              <w:jc w:val="center"/>
            </w:pPr>
            <w:r>
              <w:rPr>
                <w:rFonts w:ascii="宋体" w:hAnsi="宋体" w:eastAsia="宋体"/>
                <w:sz w:val="20"/>
              </w:rPr>
              <w:t>数据安全与隐私风险</w:t>
            </w:r>
          </w:p>
        </w:tc>
        <w:tc>
          <w:tcPr>
            <w:tcW w:w="1439" w:type="dxa"/>
          </w:tcPr>
          <w:p w14:paraId="51031886">
            <w:pPr>
              <w:spacing w:after="0"/>
              <w:jc w:val="center"/>
            </w:pPr>
            <w:r>
              <w:rPr>
                <w:rFonts w:ascii="宋体" w:hAnsi="宋体" w:eastAsia="宋体"/>
                <w:sz w:val="20"/>
              </w:rPr>
              <w:t>高度关注(12)</w:t>
            </w:r>
          </w:p>
        </w:tc>
        <w:tc>
          <w:tcPr>
            <w:tcW w:w="1439" w:type="dxa"/>
          </w:tcPr>
          <w:p w14:paraId="5B0AE346">
            <w:pPr>
              <w:spacing w:after="0"/>
              <w:jc w:val="center"/>
            </w:pPr>
            <w:r>
              <w:rPr>
                <w:rFonts w:ascii="宋体" w:hAnsi="宋体" w:eastAsia="宋体"/>
                <w:sz w:val="20"/>
              </w:rPr>
              <w:t>降低</w:t>
            </w:r>
          </w:p>
        </w:tc>
        <w:tc>
          <w:tcPr>
            <w:tcW w:w="1439" w:type="dxa"/>
          </w:tcPr>
          <w:p w14:paraId="45600C07">
            <w:pPr>
              <w:spacing w:after="0"/>
              <w:jc w:val="center"/>
            </w:pPr>
            <w:r>
              <w:rPr>
                <w:rFonts w:ascii="宋体" w:hAnsi="宋体" w:eastAsia="宋体"/>
                <w:sz w:val="20"/>
              </w:rPr>
              <w:t>数据合规部/TEG</w:t>
            </w:r>
          </w:p>
        </w:tc>
        <w:tc>
          <w:tcPr>
            <w:tcW w:w="1439" w:type="dxa"/>
          </w:tcPr>
          <w:p w14:paraId="2428F19A">
            <w:pPr>
              <w:spacing w:after="0"/>
              <w:jc w:val="center"/>
            </w:pPr>
            <w:r>
              <w:rPr>
                <w:rFonts w:ascii="宋体" w:hAnsi="宋体" w:eastAsia="宋体"/>
                <w:sz w:val="20"/>
              </w:rPr>
              <w:t>月度</w:t>
            </w:r>
          </w:p>
        </w:tc>
      </w:tr>
      <w:tr w14:paraId="72B5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1067ABAC">
            <w:pPr>
              <w:spacing w:after="0"/>
              <w:jc w:val="center"/>
            </w:pPr>
            <w:r>
              <w:rPr>
                <w:rFonts w:ascii="宋体" w:hAnsi="宋体" w:eastAsia="宋体"/>
                <w:sz w:val="20"/>
              </w:rPr>
              <w:t>R7</w:t>
            </w:r>
          </w:p>
        </w:tc>
        <w:tc>
          <w:tcPr>
            <w:tcW w:w="1439" w:type="dxa"/>
          </w:tcPr>
          <w:p w14:paraId="068CD73A">
            <w:pPr>
              <w:spacing w:after="0"/>
              <w:jc w:val="center"/>
            </w:pPr>
            <w:r>
              <w:rPr>
                <w:rFonts w:ascii="宋体" w:hAnsi="宋体" w:eastAsia="宋体"/>
                <w:sz w:val="20"/>
              </w:rPr>
              <w:t>财务与投资风险</w:t>
            </w:r>
          </w:p>
        </w:tc>
        <w:tc>
          <w:tcPr>
            <w:tcW w:w="1439" w:type="dxa"/>
          </w:tcPr>
          <w:p w14:paraId="75D83B4A">
            <w:pPr>
              <w:spacing w:after="0"/>
              <w:jc w:val="center"/>
            </w:pPr>
            <w:r>
              <w:rPr>
                <w:rFonts w:ascii="宋体" w:hAnsi="宋体" w:eastAsia="宋体"/>
                <w:sz w:val="20"/>
              </w:rPr>
              <w:t>一般(9)</w:t>
            </w:r>
          </w:p>
        </w:tc>
        <w:tc>
          <w:tcPr>
            <w:tcW w:w="1439" w:type="dxa"/>
          </w:tcPr>
          <w:p w14:paraId="4B6A8E7E">
            <w:pPr>
              <w:spacing w:after="0"/>
              <w:jc w:val="center"/>
            </w:pPr>
            <w:r>
              <w:rPr>
                <w:rFonts w:ascii="宋体" w:hAnsi="宋体" w:eastAsia="宋体"/>
                <w:sz w:val="20"/>
              </w:rPr>
              <w:t>降低+接受</w:t>
            </w:r>
          </w:p>
        </w:tc>
        <w:tc>
          <w:tcPr>
            <w:tcW w:w="1439" w:type="dxa"/>
          </w:tcPr>
          <w:p w14:paraId="451D1C62">
            <w:pPr>
              <w:spacing w:after="0"/>
              <w:jc w:val="center"/>
            </w:pPr>
            <w:r>
              <w:rPr>
                <w:rFonts w:ascii="宋体" w:hAnsi="宋体" w:eastAsia="宋体"/>
                <w:sz w:val="20"/>
              </w:rPr>
              <w:t>财务部/投资部</w:t>
            </w:r>
          </w:p>
        </w:tc>
        <w:tc>
          <w:tcPr>
            <w:tcW w:w="1439" w:type="dxa"/>
          </w:tcPr>
          <w:p w14:paraId="35871696">
            <w:pPr>
              <w:spacing w:after="0"/>
              <w:jc w:val="center"/>
            </w:pPr>
            <w:r>
              <w:rPr>
                <w:rFonts w:ascii="宋体" w:hAnsi="宋体" w:eastAsia="宋体"/>
                <w:sz w:val="20"/>
              </w:rPr>
              <w:t>季度</w:t>
            </w:r>
          </w:p>
        </w:tc>
      </w:tr>
      <w:tr w14:paraId="5644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9" w:type="dxa"/>
          </w:tcPr>
          <w:p w14:paraId="71BA0A27">
            <w:pPr>
              <w:spacing w:after="0"/>
              <w:jc w:val="center"/>
            </w:pPr>
            <w:r>
              <w:rPr>
                <w:rFonts w:ascii="宋体" w:hAnsi="宋体" w:eastAsia="宋体"/>
                <w:sz w:val="20"/>
              </w:rPr>
              <w:t>R8</w:t>
            </w:r>
          </w:p>
        </w:tc>
        <w:tc>
          <w:tcPr>
            <w:tcW w:w="1439" w:type="dxa"/>
          </w:tcPr>
          <w:p w14:paraId="10568C76">
            <w:pPr>
              <w:spacing w:after="0"/>
              <w:jc w:val="center"/>
            </w:pPr>
            <w:r>
              <w:rPr>
                <w:rFonts w:ascii="宋体" w:hAnsi="宋体" w:eastAsia="宋体"/>
                <w:sz w:val="20"/>
              </w:rPr>
              <w:t>人力资源风险</w:t>
            </w:r>
          </w:p>
        </w:tc>
        <w:tc>
          <w:tcPr>
            <w:tcW w:w="1439" w:type="dxa"/>
          </w:tcPr>
          <w:p w14:paraId="20EB10AD">
            <w:pPr>
              <w:spacing w:after="0"/>
              <w:jc w:val="center"/>
            </w:pPr>
            <w:r>
              <w:rPr>
                <w:rFonts w:ascii="宋体" w:hAnsi="宋体" w:eastAsia="宋体"/>
                <w:sz w:val="20"/>
              </w:rPr>
              <w:t>一般(6)</w:t>
            </w:r>
          </w:p>
        </w:tc>
        <w:tc>
          <w:tcPr>
            <w:tcW w:w="1439" w:type="dxa"/>
          </w:tcPr>
          <w:p w14:paraId="55EF3BD7">
            <w:pPr>
              <w:spacing w:after="0"/>
              <w:jc w:val="center"/>
            </w:pPr>
            <w:r>
              <w:rPr>
                <w:rFonts w:ascii="宋体" w:hAnsi="宋体" w:eastAsia="宋体"/>
                <w:sz w:val="20"/>
              </w:rPr>
              <w:t>降低</w:t>
            </w:r>
          </w:p>
        </w:tc>
        <w:tc>
          <w:tcPr>
            <w:tcW w:w="1439" w:type="dxa"/>
          </w:tcPr>
          <w:p w14:paraId="0AB1BC38">
            <w:pPr>
              <w:spacing w:after="0"/>
              <w:jc w:val="center"/>
            </w:pPr>
            <w:r>
              <w:rPr>
                <w:rFonts w:ascii="宋体" w:hAnsi="宋体" w:eastAsia="宋体"/>
                <w:sz w:val="20"/>
              </w:rPr>
              <w:t>人力资源部</w:t>
            </w:r>
          </w:p>
        </w:tc>
        <w:tc>
          <w:tcPr>
            <w:tcW w:w="1439" w:type="dxa"/>
          </w:tcPr>
          <w:p w14:paraId="16AEBC20">
            <w:pPr>
              <w:spacing w:after="0"/>
              <w:jc w:val="center"/>
            </w:pPr>
            <w:r>
              <w:rPr>
                <w:rFonts w:ascii="宋体" w:hAnsi="宋体" w:eastAsia="宋体"/>
                <w:sz w:val="20"/>
              </w:rPr>
              <w:t>季度</w:t>
            </w:r>
          </w:p>
        </w:tc>
      </w:tr>
    </w:tbl>
    <w:p w14:paraId="4171156E"/>
    <w:p w14:paraId="23A3C584">
      <w:pPr>
        <w:pStyle w:val="4"/>
      </w:pPr>
      <w:bookmarkStart w:id="44" w:name="_Toc32261"/>
      <w:r>
        <w:rPr>
          <w:rFonts w:ascii="黑体" w:hAnsi="黑体" w:eastAsia="黑体"/>
          <w:sz w:val="28"/>
        </w:rPr>
        <w:t>附录C：参考文献</w:t>
      </w:r>
      <w:bookmarkEnd w:id="44"/>
    </w:p>
    <w:p w14:paraId="348EC152">
      <w:pPr>
        <w:spacing w:line="360" w:lineRule="auto"/>
      </w:pPr>
      <w:r>
        <w:rPr>
          <w:rFonts w:ascii="宋体" w:hAnsi="宋体" w:eastAsia="宋体"/>
          <w:b w:val="0"/>
          <w:sz w:val="24"/>
        </w:rPr>
        <w:t>[1] 腾讯控股有限公司. 腾讯控股2024年度报告[R]. 香港: 腾讯控股, 2025.</w:t>
      </w:r>
    </w:p>
    <w:p w14:paraId="39BAE447">
      <w:pPr>
        <w:spacing w:line="360" w:lineRule="auto"/>
      </w:pPr>
      <w:r>
        <w:rPr>
          <w:rFonts w:ascii="宋体" w:hAnsi="宋体" w:eastAsia="宋体"/>
          <w:b w:val="0"/>
          <w:sz w:val="24"/>
        </w:rPr>
        <w:t>[2] 腾讯控股有限公司. 腾讯控股2024年环境、社会及管治报告[R]. 深圳: 腾讯控股, 2025.</w:t>
      </w:r>
    </w:p>
    <w:p w14:paraId="02EA84F8">
      <w:pPr>
        <w:spacing w:line="360" w:lineRule="auto"/>
      </w:pPr>
      <w:r>
        <w:rPr>
          <w:rFonts w:ascii="宋体" w:hAnsi="宋体" w:eastAsia="宋体"/>
          <w:b w:val="0"/>
          <w:sz w:val="24"/>
        </w:rPr>
        <w:t>[3] 腾讯控股有限公司. 腾讯控股2024年第四季度及全年业绩公告[R]. 香港: 腾讯控股, 2025.</w:t>
      </w:r>
    </w:p>
    <w:p w14:paraId="4E0E486E">
      <w:pPr>
        <w:spacing w:line="360" w:lineRule="auto"/>
      </w:pPr>
      <w:r>
        <w:rPr>
          <w:rFonts w:ascii="宋体" w:hAnsi="宋体" w:eastAsia="宋体"/>
          <w:b w:val="0"/>
          <w:sz w:val="24"/>
        </w:rPr>
        <w:t>[4] 腾讯控股有限公司. 腾讯控股2025年度业绩公告[R]. 香港: 腾讯控股, 2026.</w:t>
      </w:r>
    </w:p>
    <w:p w14:paraId="51A783DB">
      <w:pPr>
        <w:spacing w:line="360" w:lineRule="auto"/>
      </w:pPr>
      <w:r>
        <w:rPr>
          <w:rFonts w:ascii="宋体" w:hAnsi="宋体" w:eastAsia="宋体"/>
          <w:b w:val="0"/>
          <w:sz w:val="24"/>
        </w:rPr>
        <w:t>[5] COSO. Enterprise Risk Management—Integrating with Strategy and Performance (2017)[S]. Committee of Sponsoring Organizations of the Treadway Commission, 2017.</w:t>
      </w:r>
    </w:p>
    <w:p w14:paraId="391DAF15">
      <w:pPr>
        <w:spacing w:line="360" w:lineRule="auto"/>
      </w:pPr>
      <w:r>
        <w:rPr>
          <w:rFonts w:ascii="宋体" w:hAnsi="宋体" w:eastAsia="宋体"/>
          <w:b w:val="0"/>
          <w:sz w:val="24"/>
        </w:rPr>
        <w:t>[6] ISO 31000:2018. Risk management — Guidelines[S]. International Organization for Standardization, 2018.</w:t>
      </w:r>
    </w:p>
    <w:p w14:paraId="32F61BD4">
      <w:pPr>
        <w:spacing w:line="360" w:lineRule="auto"/>
      </w:pPr>
      <w:r>
        <w:rPr>
          <w:rFonts w:ascii="宋体" w:hAnsi="宋体" w:eastAsia="宋体"/>
          <w:b w:val="0"/>
          <w:sz w:val="24"/>
        </w:rPr>
        <w:t>[7] 美国国防部. 1260H清单更新公告[EB/OL]. 2025-01-06.</w:t>
      </w:r>
    </w:p>
    <w:p w14:paraId="6E1D87E8">
      <w:pPr>
        <w:spacing w:line="360" w:lineRule="auto"/>
      </w:pPr>
      <w:r>
        <w:rPr>
          <w:rFonts w:ascii="宋体" w:hAnsi="宋体" w:eastAsia="宋体"/>
          <w:b w:val="0"/>
          <w:sz w:val="24"/>
        </w:rPr>
        <w:t>[8] QuestMobile. 中国移动互联网2026年1月流量监测报告[R]. 北京: QuestMobile, 2026.</w:t>
      </w:r>
    </w:p>
    <w:p w14:paraId="1570CF25">
      <w:pPr>
        <w:spacing w:line="360" w:lineRule="auto"/>
      </w:pPr>
      <w:r>
        <w:rPr>
          <w:rFonts w:ascii="宋体" w:hAnsi="宋体" w:eastAsia="宋体"/>
          <w:b w:val="0"/>
          <w:sz w:val="24"/>
        </w:rPr>
        <w:t>[9] AI产品榜. 2026年2月全球AI应用月活榜单[EB/OL]. 2026.</w:t>
      </w:r>
    </w:p>
    <w:p w14:paraId="63D2CD76">
      <w:pPr>
        <w:spacing w:line="360" w:lineRule="auto"/>
      </w:pPr>
      <w:r>
        <w:rPr>
          <w:rFonts w:ascii="宋体" w:hAnsi="宋体" w:eastAsia="宋体"/>
          <w:b w:val="0"/>
          <w:sz w:val="24"/>
        </w:rPr>
        <w:t>[10] 第一上海证券. 美国将腾讯列入中国军工企业名单，对业务无根本性影响[R]. 香港: 第一上海证券, 2025.</w:t>
      </w:r>
    </w:p>
    <w:p w14:paraId="1737CEB7">
      <w:pPr>
        <w:spacing w:line="360" w:lineRule="auto"/>
      </w:pPr>
      <w:r>
        <w:rPr>
          <w:rFonts w:ascii="宋体" w:hAnsi="宋体" w:eastAsia="宋体"/>
          <w:b w:val="0"/>
          <w:sz w:val="24"/>
        </w:rPr>
        <w:t>[11] 国信证券. 腾讯(0700.HK)被列入美国国防部CMC清单事件点评[R]. 深圳: 国信证券, 2025.</w:t>
      </w:r>
    </w:p>
    <w:p w14:paraId="52C52CB2">
      <w:pPr>
        <w:spacing w:line="360" w:lineRule="auto"/>
      </w:pPr>
      <w:r>
        <w:rPr>
          <w:rFonts w:ascii="宋体" w:hAnsi="宋体" w:eastAsia="宋体"/>
          <w:b w:val="0"/>
          <w:sz w:val="24"/>
        </w:rPr>
        <w:t>[12] 钛媒体. 腾讯终于着急了[EB/OL]. 2025-03-20.</w:t>
      </w:r>
    </w:p>
    <w:p w14:paraId="07504A7B">
      <w:pPr>
        <w:spacing w:line="360" w:lineRule="auto"/>
      </w:pPr>
      <w:r>
        <w:rPr>
          <w:rFonts w:ascii="宋体" w:hAnsi="宋体" w:eastAsia="宋体"/>
          <w:b w:val="0"/>
          <w:sz w:val="24"/>
        </w:rPr>
        <w:t>[13] 蓝鲸财经. 腾讯需要一场"叙事重启"[EB/OL]. 2025-03.</w:t>
      </w:r>
    </w:p>
    <w:p w14:paraId="39A1115B">
      <w:pPr>
        <w:spacing w:line="360" w:lineRule="auto"/>
      </w:pPr>
      <w:r>
        <w:rPr>
          <w:rFonts w:ascii="宋体" w:hAnsi="宋体" w:eastAsia="宋体"/>
          <w:b w:val="0"/>
          <w:sz w:val="24"/>
        </w:rPr>
        <w:t>[14] 余怒涛, 池怡麟. 加强内部财会监督 防范企业重大风险——以腾讯公司诉老干妈公司事件为例[J]. 财务与会计, 2024(12).</w:t>
      </w:r>
    </w:p>
    <w:p w14:paraId="49ED408B">
      <w:pPr>
        <w:spacing w:line="360" w:lineRule="auto"/>
      </w:pPr>
      <w:r>
        <w:rPr>
          <w:rFonts w:ascii="宋体" w:hAnsi="宋体" w:eastAsia="宋体"/>
          <w:b w:val="0"/>
          <w:sz w:val="24"/>
        </w:rPr>
        <w:t>[15] 腾讯控股有限公司. 腾讯阳光行为准则[EB/OL]. 腾讯官网.</w:t>
      </w:r>
    </w:p>
    <w:sectPr>
      <w:footerReference r:id="rId5" w:type="default"/>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B9C52">
    <w:pPr>
      <w:pStyle w:val="24"/>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05301">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E05301">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D74AD"/>
    <w:rsid w:val="3A230D38"/>
    <w:rsid w:val="50B32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11238</Words>
  <Characters>12955</Characters>
  <Lines>0</Lines>
  <Paragraphs>0</Paragraphs>
  <TotalTime>9</TotalTime>
  <ScaleCrop>false</ScaleCrop>
  <LinksUpToDate>false</LinksUpToDate>
  <CharactersWithSpaces>13446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olveuoy园长</cp:lastModifiedBy>
  <dcterms:modified xsi:type="dcterms:W3CDTF">2026-06-27T08:48:10Z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eyJoZGlkIjoiMmMwZDYyM2RlYzVhNmRhOTJlNWJjZmRjNGRjMDY2YTIiLCJ1c2VySWQiOiIxMDcyMjIyMzA3In0=</vt:lpwstr>
  </property>
  <property fmtid="{D5CDD505-2E9C-101B-9397-08002B2CF9AE}" pid="3" name="KSOProductBuildVer">
    <vt:lpwstr>2052-12.1.0.26895</vt:lpwstr>
  </property>
  <property fmtid="{D5CDD505-2E9C-101B-9397-08002B2CF9AE}" pid="4" name="ICV">
    <vt:lpwstr>911917F23A514F96872B0BC1766E2050_12</vt:lpwstr>
  </property>
</Properties>
</file>