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06A32"/>
    <w:p w14:paraId="76FE0B1A"/>
    <w:p w14:paraId="3B844A2F">
      <w:pPr>
        <w:jc w:val="center"/>
      </w:pPr>
      <w:bookmarkStart w:id="0" w:name="_GoBack"/>
      <w:bookmarkEnd w:id="0"/>
      <w:r>
        <w:rPr>
          <w:b/>
          <w:color w:val="4472C4"/>
          <w:sz w:val="56"/>
        </w:rPr>
        <w:t>Agent智能风险监控管理系统</w:t>
      </w:r>
    </w:p>
    <w:p w14:paraId="2C4BE4FF">
      <w:pPr>
        <w:jc w:val="center"/>
      </w:pPr>
      <w:r>
        <w:rPr>
          <w:color w:val="4472C4"/>
          <w:sz w:val="44"/>
        </w:rPr>
        <w:t>技术报告</w:t>
      </w:r>
    </w:p>
    <w:p w14:paraId="0D5FC5E0"/>
    <w:p w14:paraId="71038849"/>
    <w:p w14:paraId="092384DD">
      <w:pPr>
        <w:ind w:firstLine="5760" w:firstLineChars="2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报告人：李家昊</w:t>
      </w:r>
    </w:p>
    <w:p w14:paraId="722E0F9A">
      <w:pPr>
        <w:ind w:firstLine="5760" w:firstLineChars="2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学号：2024044057</w:t>
      </w:r>
      <w:r>
        <w:br w:type="page"/>
      </w:r>
      <w:r>
        <w:rPr>
          <w:rFonts w:hint="eastAsia" w:eastAsia="宋体"/>
          <w:lang w:val="en-US" w:eastAsia="zh-CN"/>
        </w:rPr>
        <w:t xml:space="preserve"> </w:t>
      </w:r>
    </w:p>
    <w:p w14:paraId="18D046D5">
      <w:pPr>
        <w:pStyle w:val="3"/>
      </w:pPr>
      <w:r>
        <w:t>目录</w:t>
      </w:r>
    </w:p>
    <w:p w14:paraId="0DD6703E">
      <w:pPr>
        <w:spacing w:before="0" w:after="0"/>
      </w:pPr>
      <w:r>
        <w:rPr>
          <w:sz w:val="24"/>
        </w:rPr>
        <w:t>摘要</w:t>
      </w:r>
    </w:p>
    <w:p w14:paraId="4690ADD6">
      <w:pPr>
        <w:spacing w:before="0" w:after="0"/>
      </w:pPr>
      <w:r>
        <w:rPr>
          <w:sz w:val="24"/>
        </w:rPr>
        <w:t>一、引言</w:t>
      </w:r>
    </w:p>
    <w:p w14:paraId="1765A882">
      <w:pPr>
        <w:spacing w:before="0" w:after="0"/>
      </w:pPr>
      <w:r>
        <w:rPr>
          <w:sz w:val="20"/>
        </w:rPr>
        <w:t xml:space="preserve">  1.1 项目背景</w:t>
      </w:r>
    </w:p>
    <w:p w14:paraId="2F2677ED">
      <w:pPr>
        <w:spacing w:before="0" w:after="0"/>
      </w:pPr>
      <w:r>
        <w:rPr>
          <w:sz w:val="20"/>
        </w:rPr>
        <w:t xml:space="preserve">  1.2 项目目标</w:t>
      </w:r>
    </w:p>
    <w:p w14:paraId="02689F51">
      <w:pPr>
        <w:spacing w:before="0" w:after="0"/>
      </w:pPr>
      <w:r>
        <w:rPr>
          <w:sz w:val="20"/>
        </w:rPr>
        <w:t xml:space="preserve">  1.3 与主报告的关系</w:t>
      </w:r>
    </w:p>
    <w:p w14:paraId="373813FC">
      <w:pPr>
        <w:spacing w:before="0" w:after="0"/>
      </w:pPr>
      <w:r>
        <w:rPr>
          <w:sz w:val="24"/>
        </w:rPr>
        <w:t>二、需求分析</w:t>
      </w:r>
    </w:p>
    <w:p w14:paraId="6AB81A11">
      <w:pPr>
        <w:spacing w:before="0" w:after="0"/>
      </w:pPr>
      <w:r>
        <w:rPr>
          <w:sz w:val="20"/>
        </w:rPr>
        <w:t xml:space="preserve">  2.1 功能需求</w:t>
      </w:r>
    </w:p>
    <w:p w14:paraId="01BA6D5C">
      <w:pPr>
        <w:spacing w:before="0" w:after="0"/>
      </w:pPr>
      <w:r>
        <w:rPr>
          <w:sz w:val="20"/>
        </w:rPr>
        <w:t xml:space="preserve">  2.2 非功能需求</w:t>
      </w:r>
    </w:p>
    <w:p w14:paraId="0A38FE30">
      <w:pPr>
        <w:spacing w:before="0" w:after="0"/>
      </w:pPr>
      <w:r>
        <w:rPr>
          <w:sz w:val="20"/>
        </w:rPr>
        <w:t xml:space="preserve">  2.3 用户角色</w:t>
      </w:r>
    </w:p>
    <w:p w14:paraId="755EA494">
      <w:pPr>
        <w:spacing w:before="0" w:after="0"/>
      </w:pPr>
      <w:r>
        <w:rPr>
          <w:sz w:val="24"/>
        </w:rPr>
        <w:t>三、系统设计</w:t>
      </w:r>
    </w:p>
    <w:p w14:paraId="74C3D026">
      <w:pPr>
        <w:spacing w:before="0" w:after="0"/>
      </w:pPr>
      <w:r>
        <w:rPr>
          <w:sz w:val="20"/>
        </w:rPr>
        <w:t xml:space="preserve">  3.1 总体架构</w:t>
      </w:r>
    </w:p>
    <w:p w14:paraId="524D4682">
      <w:pPr>
        <w:spacing w:before="0" w:after="0"/>
      </w:pPr>
      <w:r>
        <w:rPr>
          <w:sz w:val="20"/>
        </w:rPr>
        <w:t xml:space="preserve">  3.2 Agent设计与协作流程</w:t>
      </w:r>
    </w:p>
    <w:p w14:paraId="2C03D687">
      <w:pPr>
        <w:spacing w:before="0" w:after="0"/>
      </w:pPr>
      <w:r>
        <w:rPr>
          <w:sz w:val="20"/>
        </w:rPr>
        <w:t xml:space="preserve">  3.3 核心模块说明</w:t>
      </w:r>
    </w:p>
    <w:p w14:paraId="0F732328">
      <w:pPr>
        <w:spacing w:before="0" w:after="0"/>
      </w:pPr>
      <w:r>
        <w:rPr>
          <w:sz w:val="24"/>
        </w:rPr>
        <w:t>四、AI辅助与Agent实现</w:t>
      </w:r>
    </w:p>
    <w:p w14:paraId="548FDBF2">
      <w:pPr>
        <w:spacing w:before="0" w:after="0"/>
      </w:pPr>
      <w:r>
        <w:rPr>
          <w:sz w:val="20"/>
        </w:rPr>
        <w:t xml:space="preserve">  4.1 模型与工具选型</w:t>
      </w:r>
    </w:p>
    <w:p w14:paraId="13600FBC">
      <w:pPr>
        <w:spacing w:before="0" w:after="0"/>
      </w:pPr>
      <w:r>
        <w:rPr>
          <w:sz w:val="20"/>
        </w:rPr>
        <w:t xml:space="preserve">  4.2 Prompt与工作流设计</w:t>
      </w:r>
    </w:p>
    <w:p w14:paraId="19585360">
      <w:pPr>
        <w:spacing w:before="0" w:after="0"/>
      </w:pPr>
      <w:r>
        <w:rPr>
          <w:sz w:val="20"/>
        </w:rPr>
        <w:t xml:space="preserve">  4.3 规则引擎回退机制</w:t>
      </w:r>
    </w:p>
    <w:p w14:paraId="3E6DEDDD">
      <w:pPr>
        <w:spacing w:before="0" w:after="0"/>
      </w:pPr>
      <w:r>
        <w:rPr>
          <w:sz w:val="24"/>
        </w:rPr>
        <w:t>五、系统测试与演示</w:t>
      </w:r>
    </w:p>
    <w:p w14:paraId="6F196B7F">
      <w:pPr>
        <w:spacing w:before="0" w:after="0"/>
      </w:pPr>
      <w:r>
        <w:rPr>
          <w:sz w:val="20"/>
        </w:rPr>
        <w:t xml:space="preserve">  5.1 测试用例与结果</w:t>
      </w:r>
    </w:p>
    <w:p w14:paraId="14F97319">
      <w:pPr>
        <w:spacing w:before="0" w:after="0"/>
      </w:pPr>
      <w:r>
        <w:rPr>
          <w:sz w:val="20"/>
        </w:rPr>
        <w:t xml:space="preserve">  5.2 腾讯案例演示</w:t>
      </w:r>
    </w:p>
    <w:p w14:paraId="7890995B">
      <w:pPr>
        <w:spacing w:before="0" w:after="0"/>
      </w:pPr>
      <w:r>
        <w:rPr>
          <w:sz w:val="24"/>
        </w:rPr>
        <w:t>六、结果与分析</w:t>
      </w:r>
    </w:p>
    <w:p w14:paraId="3CF73CA7">
      <w:pPr>
        <w:spacing w:before="0" w:after="0"/>
      </w:pPr>
      <w:r>
        <w:rPr>
          <w:sz w:val="20"/>
        </w:rPr>
        <w:t xml:space="preserve">  6.1 系统输出与人工分析对照</w:t>
      </w:r>
    </w:p>
    <w:p w14:paraId="406202BB">
      <w:pPr>
        <w:spacing w:before="0" w:after="0"/>
      </w:pPr>
      <w:r>
        <w:rPr>
          <w:sz w:val="20"/>
        </w:rPr>
        <w:t xml:space="preserve">  6.2 优势分析</w:t>
      </w:r>
    </w:p>
    <w:p w14:paraId="4D3479F8">
      <w:pPr>
        <w:spacing w:before="0" w:after="0"/>
      </w:pPr>
      <w:r>
        <w:rPr>
          <w:sz w:val="20"/>
        </w:rPr>
        <w:t xml:space="preserve">  6.3 误差与局限性</w:t>
      </w:r>
    </w:p>
    <w:p w14:paraId="0BAE6D15">
      <w:pPr>
        <w:spacing w:before="0" w:after="0"/>
      </w:pPr>
      <w:r>
        <w:rPr>
          <w:sz w:val="24"/>
        </w:rPr>
        <w:t>七、附录</w:t>
      </w:r>
    </w:p>
    <w:p w14:paraId="7BD83E91">
      <w:pPr>
        <w:spacing w:before="0" w:after="0"/>
      </w:pPr>
      <w:r>
        <w:rPr>
          <w:sz w:val="24"/>
        </w:rPr>
        <w:t>附录A AI使用说明</w:t>
      </w:r>
    </w:p>
    <w:p w14:paraId="5B0535AA">
      <w:pPr>
        <w:spacing w:before="0" w:after="0"/>
      </w:pPr>
      <w:r>
        <w:rPr>
          <w:sz w:val="24"/>
        </w:rPr>
        <w:t>附录B 参考文献与开源组件</w:t>
      </w:r>
    </w:p>
    <w:p w14:paraId="0AEA239C">
      <w:pPr>
        <w:spacing w:before="0" w:after="0"/>
      </w:pPr>
      <w:r>
        <w:rPr>
          <w:sz w:val="24"/>
        </w:rPr>
        <w:t>附录C 部署与运行说明</w:t>
      </w:r>
    </w:p>
    <w:p w14:paraId="36A51881">
      <w:r>
        <w:br w:type="page"/>
      </w:r>
    </w:p>
    <w:p w14:paraId="4118869F">
      <w:pPr>
        <w:pStyle w:val="3"/>
      </w:pPr>
      <w:r>
        <w:t>摘要</w:t>
      </w:r>
    </w:p>
    <w:p w14:paraId="786B7ADC">
      <w:r>
        <w:t>本技术报告介绍了一个基于Multi-Agent架构的「Agent智能风险监控管理系统」的设计与实现。该系统将COSO ERM 2017企业风险管理框架的核心流程——风险识别、风险评估、风险预警、风险应对——落地为可运行的智能系统原型。系统采用Supervisor+Specialized Agents的协作架构，包含风险识别Agent、风险评估Agent、预警Agent和风险应对Agent四个专业智能体，通过LLM（大语言模型）与规则引擎的双轨机制驱动分析流程。系统以腾讯控股（0700.HK）为案例企业，内置了基于其2024年报、ESG报告和公开信息识别的8项重大风险数据。系统提供Web管理界面，支持风险矩阵可视化、预警检测、4T策略应对建议生成和Word/Excel/JSON格式的完整报告自动导出。经测试验证，系统在风险识别覆盖度（87.5%）和评估一致性（PxI偏差&lt;1分）方面与人工主报告分析保持较高吻合，验证了Agent架构在风险管理自动化领域的可行性。同时，报告讨论了系统在专业判断深度、实时数据接入和模型幻觉控制等方面的局限性，并提出了未来改进方向。</w:t>
      </w:r>
    </w:p>
    <w:p w14:paraId="4FEC88E0">
      <w:pPr>
        <w:pStyle w:val="3"/>
      </w:pPr>
      <w:r>
        <w:t>一、引言</w:t>
      </w:r>
    </w:p>
    <w:p w14:paraId="0800648E">
      <w:pPr>
        <w:pStyle w:val="4"/>
      </w:pPr>
      <w:r>
        <w:t>1.1 项目背景</w:t>
      </w:r>
    </w:p>
    <w:p w14:paraId="5F01961A">
      <w:r>
        <w:t>随着企业面临的外部环境日益复杂——监管政策快速变化、地缘政治风险加剧、技术变革日新月异——传统的依赖人工经验和静态报告的风险管理模式面临挑战。2022年以来，以ChatGPT为代表的大语言模型（LLM）技术的突破，为风险管理领域的智能化转型提供了新的可能性。</w:t>
      </w:r>
    </w:p>
    <w:p w14:paraId="3316C8E1">
      <w:r>
        <w:t>Agent（智能体）技术通过赋予AI以目标导向的自主决策和工具使用能力，使得将复杂的风险管理流程自动化成为可能。区别于传统的单一LLM对话，Multi-Agent架构允许不同专业领域的Agent协同工作，分别负责风险识别、评估、预警和应对等不同环节，更贴近企业风险管理的实际组织架构。</w:t>
      </w:r>
    </w:p>
    <w:p w14:paraId="01A70127">
      <w:r>
        <w:t>《风险管理》课程要求学生在完成传统企业全面风险管理分析报告的基础上，进一步设计并开发基于Agent架构的智能风险监控系统。本技术报告即为该要求的实践成果。</w:t>
      </w:r>
    </w:p>
    <w:p w14:paraId="1BD4CCAD">
      <w:pPr>
        <w:pStyle w:val="4"/>
      </w:pPr>
      <w:r>
        <w:t>1.2 项目目标</w:t>
      </w:r>
    </w:p>
    <w:p w14:paraId="30CE1305">
      <w:r>
        <w:t>本项目旨在构建一个可演示的系统原型，实现以下核心目标：</w:t>
      </w:r>
    </w:p>
    <w:p w14:paraId="723D7CA4">
      <w:pPr>
        <w:pStyle w:val="16"/>
      </w:pPr>
      <w:r>
        <w:t>接入/录入企业公开信息与风险数据，支持多种数据源（文本、Word、Excel）；</w:t>
      </w:r>
    </w:p>
    <w:p w14:paraId="0FFEEBB2">
      <w:pPr>
        <w:pStyle w:val="16"/>
      </w:pPr>
      <w:r>
        <w:t>自动或半自动完成风险识别、评估、预警与应对建议生成的全流程；</w:t>
      </w:r>
    </w:p>
    <w:p w14:paraId="6DD9412E">
      <w:pPr>
        <w:pStyle w:val="16"/>
      </w:pPr>
      <w:r>
        <w:t>提供内控与监督相关的基础功能模块，基于COSO ERM三道防线模型；</w:t>
      </w:r>
    </w:p>
    <w:p w14:paraId="753210CB">
      <w:pPr>
        <w:pStyle w:val="16"/>
      </w:pPr>
      <w:r>
        <w:t>生成与主报告结构对应的结构化风险分析输出（摘要、清单、矩阵、建议）；</w:t>
      </w:r>
    </w:p>
    <w:p w14:paraId="669DCACE">
      <w:pPr>
        <w:pStyle w:val="16"/>
      </w:pPr>
      <w:r>
        <w:t>通过直观的Web界面展示分析结果，支持交互式操作和报告导出。</w:t>
      </w:r>
    </w:p>
    <w:p w14:paraId="4A85A331">
      <w:pPr>
        <w:pStyle w:val="4"/>
      </w:pPr>
      <w:r>
        <w:t>1.3 与主报告的关系</w:t>
      </w:r>
    </w:p>
    <w:p w14:paraId="4CE3354E">
      <w:r>
        <w:t>本技术报告是主报告《基于公开信息的企业全面风险管理报告——腾讯控股》的配套技术文档。主报告基于COSO ERM 2017框架，手工完成了对腾讯控股（0700.HK）的全面风险分析，识别了8项重大风险（R1-R8），并进行了风险评估、应对策略分析和内控机制梳理。本系统以主报告的分析成果为基准和参照，将相同的风险管理流程实现了自动化，并以主报告识别的腾讯8大风险作为内置知识库，确保系统输出的专业性和准确性。同时，系统也为主报告提供了可验证的技术支撑——通过对比系统自动分析结果与人工分析结果，可以评估AI辅助风险管理的有效性和局限性。</w:t>
      </w:r>
    </w:p>
    <w:p w14:paraId="110C2A00">
      <w:pPr>
        <w:pStyle w:val="3"/>
      </w:pPr>
      <w:r>
        <w:t>二、需求分析</w:t>
      </w:r>
    </w:p>
    <w:p w14:paraId="1147D336">
      <w:pPr>
        <w:pStyle w:val="4"/>
      </w:pPr>
      <w:r>
        <w:t>2.1 功能需求</w:t>
      </w:r>
    </w:p>
    <w:p w14:paraId="1206FCC3">
      <w:pPr>
        <w:pStyle w:val="16"/>
      </w:pPr>
      <w:r>
        <w:t>系统功能需求分为以下模块：</w:t>
      </w:r>
    </w:p>
    <w:p w14:paraId="01D5E48E">
      <w:r>
        <w:rPr>
          <w:b/>
        </w:rPr>
        <w:t>风险识别模块：</w:t>
      </w:r>
      <w:r>
        <w:t>支持输入企业信息文本或上传年报等文档，自动提取和识别企业面临的主要风险，按COSO ERM框架分类（外部/内部风险），输出结构化的风险清单（含风险代码、名称、类别、描述、可能后果、信息来源）。</w:t>
      </w:r>
    </w:p>
    <w:p w14:paraId="35486FAF">
      <w:r>
        <w:rPr>
          <w:b/>
        </w:rPr>
        <w:t>风险评估模块：</w:t>
      </w:r>
      <w:r>
        <w:t>基于风险矩阵方法（可能性P x 影响程度I），对已识别的风险进行量化评估，自动计算风险得分（1-25分）和风险等级（重大/高度关注/一般/低），生成风险矩阵热力图和统计概览。</w:t>
      </w:r>
    </w:p>
    <w:p w14:paraId="099B0958">
      <w:r>
        <w:rPr>
          <w:b/>
        </w:rPr>
        <w:t>风险预警模块：</w:t>
      </w:r>
      <w:r>
        <w:t>基于预设阈值（P&gt;=4、I&gt;=4、得分&gt;=15等），自动检测高风险项，生成红/橙/黄三级预警，追踪风险趋势变化（上升/稳定/下降），预警等级随趋势自动升级。</w:t>
      </w:r>
    </w:p>
    <w:p w14:paraId="4B781346">
      <w:r>
        <w:rPr>
          <w:b/>
        </w:rPr>
        <w:t>风险应对模块：</w:t>
      </w:r>
      <w:r>
        <w:t>基于4T策略框架（Avoid/Reduce/Transfer/Accept），为每个风险自动生成应对建议和改进措施，评估现有应对措施的有效性，生成优先行动事项列表。</w:t>
      </w:r>
    </w:p>
    <w:p w14:paraId="76B465AB">
      <w:r>
        <w:rPr>
          <w:b/>
        </w:rPr>
        <w:t>内控管理模块：</w:t>
      </w:r>
      <w:r>
        <w:t>展示COSO ERM三道防线模型和内部控制制度清单，支持内控制度与风险的关联映射。</w:t>
      </w:r>
    </w:p>
    <w:p w14:paraId="67D58DE9">
      <w:r>
        <w:rPr>
          <w:b/>
        </w:rPr>
        <w:t>报告生成模块：</w:t>
      </w:r>
      <w:r>
        <w:t>自动生成Word格式完整风险管理报告、Excel格式风险清单、JSON格式结构化数据，支持在线下载。</w:t>
      </w:r>
    </w:p>
    <w:p w14:paraId="67D144E8">
      <w:r>
        <w:rPr>
          <w:b/>
        </w:rPr>
        <w:t>数据管理模块：</w:t>
      </w:r>
      <w:r>
        <w:t>支持风险的增删改查（CRUD）操作，支持Excel/Word文件导入风险数据，内置腾讯控股预置数据。</w:t>
      </w:r>
    </w:p>
    <w:p w14:paraId="1A74E2CC">
      <w:pPr>
        <w:pStyle w:val="4"/>
      </w:pPr>
      <w:r>
        <w:t>2.2 非功能需求</w:t>
      </w:r>
    </w:p>
    <w:p w14:paraId="61D6FC8E">
      <w:r>
        <w:rPr>
          <w:b/>
        </w:rPr>
        <w:t>可用性：</w:t>
      </w:r>
      <w:r>
        <w:t>提供直观的Web管理界面，采用Bootstrap 5响应式设计，主流浏览器兼容，操作流程简洁。</w:t>
      </w:r>
    </w:p>
    <w:p w14:paraId="053D2045">
      <w:r>
        <w:rPr>
          <w:b/>
        </w:rPr>
        <w:t>可扩展性：</w:t>
      </w:r>
      <w:r>
        <w:t>Agent模块采用插件式架构，可独立添加或替换新的专业Agent；LLM后端支持热切换（Claude/OpenAI/本地模型/规则引擎）。</w:t>
      </w:r>
    </w:p>
    <w:p w14:paraId="20891328">
      <w:r>
        <w:rPr>
          <w:b/>
        </w:rPr>
        <w:t>性能：</w:t>
      </w:r>
      <w:r>
        <w:t>无LLM API时（规则引擎模式）单次全流程分析&lt;1秒；有API时取决于模型响应时间（通常5-30秒）。</w:t>
      </w:r>
    </w:p>
    <w:p w14:paraId="37383391">
      <w:r>
        <w:rPr>
          <w:b/>
        </w:rPr>
        <w:t>安全性：</w:t>
      </w:r>
      <w:r>
        <w:t>本地部署，数据不离开用户环境；无外部API调用时不产生网络通信；支持通过环境变量配置API密钥。</w:t>
      </w:r>
    </w:p>
    <w:p w14:paraId="6E152E0B">
      <w:r>
        <w:rPr>
          <w:b/>
        </w:rPr>
        <w:t>可维护性：</w:t>
      </w:r>
      <w:r>
        <w:t>代码结构遵循标准Python项目布局（agents/services/models/templates分层），配置集中管理。</w:t>
      </w:r>
    </w:p>
    <w:p w14:paraId="1E1B9785">
      <w:pPr>
        <w:pStyle w:val="4"/>
      </w:pPr>
      <w:r>
        <w:t>2.3 用户角色</w:t>
      </w:r>
    </w:p>
    <w:p w14:paraId="64FA11FA">
      <w:r>
        <w:t>系统定义了以下用户角色：</w:t>
      </w:r>
    </w:p>
    <w:p w14:paraId="68707EB5">
      <w:r>
        <w:rPr>
          <w:b/>
        </w:rPr>
        <w:t>风险管理员：</w:t>
      </w:r>
      <w:r>
        <w:t>系统的主要使用者，负责日常风险监控、数据维护、预警处理和分析报告生成。可执行风险识别、评估、预警检查和报告导出等全部操作。</w:t>
      </w:r>
    </w:p>
    <w:p w14:paraId="35BE0345">
      <w:r>
        <w:rPr>
          <w:b/>
        </w:rPr>
        <w:t>管理层：</w:t>
      </w:r>
      <w:r>
        <w:t>高级决策者，主要查看仪表盘概览、风险矩阵、优先行动事项和完整报告。关注风险趋势和重大风险的应对状态。</w:t>
      </w:r>
    </w:p>
    <w:p w14:paraId="43C63889">
      <w:r>
        <w:rPr>
          <w:b/>
        </w:rPr>
        <w:t>系统管理员：</w:t>
      </w:r>
      <w:r>
        <w:t>负责系统配置、LLM模型切换、数据备份和系统维护。管理用户权限和系统参数。</w:t>
      </w:r>
    </w:p>
    <w:p w14:paraId="6EF701ED">
      <w:pPr>
        <w:pStyle w:val="3"/>
      </w:pPr>
      <w:r>
        <w:t>三、系统设计</w:t>
      </w:r>
    </w:p>
    <w:p w14:paraId="5CE4ED8F">
      <w:pPr>
        <w:pStyle w:val="4"/>
      </w:pPr>
      <w:r>
        <w:t>3.1 总体架构</w:t>
      </w:r>
    </w:p>
    <w:p w14:paraId="2D6FC534">
      <w:r>
        <w:t>系统采用分层架构设计，自上而下分为：表现层（Web UI）、服务层（Service Layer）、Agent层（Multi-Agent Engine）和数据层（Data Layer）。各层之间通过明确的接口通信，实现高内聚、低耦合的架构目标。</w:t>
      </w:r>
    </w:p>
    <w:p w14:paraId="20DC16D8">
      <w:pPr>
        <w:pStyle w:val="16"/>
      </w:pPr>
      <w:r>
        <w:t>系统架构层次说明：</w:t>
      </w:r>
    </w:p>
    <w:p w14:paraId="2C1A8642">
      <w:r>
        <w:rPr>
          <w:b/>
        </w:rPr>
        <w:t>表现层（Presentation Layer）：</w:t>
      </w:r>
      <w:r>
        <w:t>基于Flask + Jinja2 + Bootstrap 5的Web应用。提供仪表盘、风险管理、内控管理、AI分析和报告生成等页面。通过AJAX API与服务层交互，使用Chart.js实现风险矩阵热力图、趋势图和类别分布图的可视化。</w:t>
      </w:r>
    </w:p>
    <w:p w14:paraId="49100D6E">
      <w:r>
        <w:rPr>
          <w:b/>
        </w:rPr>
        <w:t>服务层（Service Layer）：</w:t>
      </w:r>
      <w:r>
        <w:t>包含RiskService（风险CRUD服务）、AnalysisService（Agent调用协调）、ReportService（Word/Excel/JSON报告生成）和DataService（数据导入导出）。服务层封装业务逻辑，解耦Agent层和数据层。</w:t>
      </w:r>
    </w:p>
    <w:p w14:paraId="7EBD3279">
      <w:r>
        <w:rPr>
          <w:b/>
        </w:rPr>
        <w:t>Agent层（Multi-Agent Engine）：</w:t>
      </w:r>
      <w:r>
        <w:t>核心智能分析引擎。包含SupervisorAgent（任务编排）和4个专业Agent：RiskIdentifierAgent、RiskAssessorAgent、EarlyWarningAgent、RiskResponseAgent。每个Agent有独立的系统提示词和规则引擎回退逻辑，LLMService统一封装模型调用。</w:t>
      </w:r>
    </w:p>
    <w:p w14:paraId="4228C7DF">
      <w:r>
        <w:rPr>
          <w:b/>
        </w:rPr>
        <w:t>数据层（Data Layer）：</w:t>
      </w:r>
      <w:r>
        <w:t>SQLite数据库（开发环境）/ PostgreSQL（生产环境），通过SQLAlchemy ORM管理。包含Risk、RiskEvent、EarlyWarning、InternalControl、User五张核心数据表。内置知识库（KnowledgeBase）存储COSO ERM框架、风险分类和腾讯预置数据。</w:t>
      </w:r>
    </w:p>
    <w:p w14:paraId="73598F71">
      <w:pPr>
        <w:pStyle w:val="4"/>
      </w:pPr>
      <w:r>
        <w:t>3.2 Agent设计与协作流程</w:t>
      </w:r>
    </w:p>
    <w:p w14:paraId="38F53352">
      <w:r>
        <w:t>系统采用「Supervisor + Specialized Agents」的Multi-Agent协作架构，借鉴了企业风险管理中「风险管理委员会 + 专业风险管理部门」的组织模式。</w:t>
      </w:r>
    </w:p>
    <w:p w14:paraId="2E08B4F8">
      <w:r>
        <w:t>各Agent职责说明：</w:t>
      </w:r>
    </w:p>
    <w:p w14:paraId="416DE444">
      <w:r>
        <w:rPr>
          <w:b/>
        </w:rPr>
        <w:t>SupervisorAgent（监督协调Agent）：</w:t>
      </w:r>
      <w:r>
        <w:t>系统的中央调度器。接收用户请求后，按预定流程依次调用各专业Agent，收集和整合各阶段的分析结果，最终汇总为完整的分析报告。同时提供分步执行接口，允许用户单独触发某一环节的分析。</w:t>
      </w:r>
    </w:p>
    <w:p w14:paraId="2FE5F5CD">
      <w:r>
        <w:rPr>
          <w:b/>
        </w:rPr>
        <w:t>RiskIdentifierAgent（风险识别Agent）：</w:t>
      </w:r>
      <w:r>
        <w:t>基于输入的企业信息（年报、公告、ESG报告等文本），利用LLM自然语言理解能力或内置规则引擎，识别企业面临的主要风险。输出结构化的风险清单，每个风险包含：代码、名称、类别、子类别、详细描述、可能后果和信息来源。内置腾讯8大风险的预置数据作为知识库，确保对特定企业的分析准确性。</w:t>
      </w:r>
    </w:p>
    <w:p w14:paraId="4AC56D81">
      <w:r>
        <w:rPr>
          <w:b/>
        </w:rPr>
        <w:t>RiskAssessorAgent（风险评估Agent）：</w:t>
      </w:r>
      <w:r>
        <w:t>对已识别风险进行PxI量化评估。可能性（P）和影响程度（I）均采用1-5分制。支持两种评估模式：1）基于关键词和风险特征的规则引擎快速评估；2）基于LLM的深度语义评估。最终计算风险得分（PxI），判定风险等级，生成风险矩阵可视化数据和统计概览。</w:t>
      </w:r>
    </w:p>
    <w:p w14:paraId="62067C91">
      <w:r>
        <w:rPr>
          <w:b/>
        </w:rPr>
        <w:t>EarlyWarningAgent（预警Agent）：</w:t>
      </w:r>
      <w:r>
        <w:t>基于预设阈值自动检测高风险项。三级预警体系：红色预警（得分&gt;=15或P&gt;=4或I&gt;=4）、橙色预警（得分&gt;=10或P&gt;=3）、黄色预警（得分&gt;=5）。具备趋势升级机制——当风险趋势为上升时，预警等级自动提升一级。</w:t>
      </w:r>
    </w:p>
    <w:p w14:paraId="0D15172C">
      <w:r>
        <w:rPr>
          <w:b/>
        </w:rPr>
        <w:t>RiskResponseAgent（风险应对Agent）：</w:t>
      </w:r>
      <w:r>
        <w:t>基于4T策略框架（Avoid/Reduce/Transfer/Accept）为每个风险生成应对建议。内置不同风险类别的策略模板（如监管政策推荐Reduce+前瞻研究、地缘政治推荐Reduce+应急预案+Transfer保险），支持基于LLM的个性化改进建议生成。</w:t>
      </w:r>
    </w:p>
    <w:p w14:paraId="354E4E56"/>
    <w:p w14:paraId="673C1B10">
      <w:r>
        <w:t>Agent协作流程：</w:t>
      </w:r>
    </w:p>
    <w:p w14:paraId="5E3845AA">
      <w:r>
        <w:t>标准全流程分析的数据流如下：</w:t>
      </w:r>
    </w:p>
    <w:p w14:paraId="57F0B202">
      <w:r>
        <w:t>Step 1: 用户输入企业信息/上传年报文档 → SupervisorAgent接收请求</w:t>
      </w:r>
    </w:p>
    <w:p w14:paraId="78A5E7E5">
      <w:r>
        <w:t>Step 2: SupervisorAgent → RiskIdentifierAgent：调用风险识别，输出风险清单</w:t>
      </w:r>
    </w:p>
    <w:p w14:paraId="7078E2F8">
      <w:r>
        <w:t>Step 3: SupervisorAgent → RiskAssessorAgent：将风险清单传入评估，输出PxI评分和矩阵</w:t>
      </w:r>
    </w:p>
    <w:p w14:paraId="39EE6231">
      <w:r>
        <w:t>Step 4: SupervisorAgent → EarlyWarningAgent：将评估结果传入预警检测，输出预警列表</w:t>
      </w:r>
    </w:p>
    <w:p w14:paraId="158C16B1">
      <w:r>
        <w:t>Step 5: SupervisorAgent → RiskResponseAgent：将评估结果传入应对建议，输出应对策略</w:t>
      </w:r>
    </w:p>
    <w:p w14:paraId="677E4B48">
      <w:r>
        <w:t>Step 6: SupervisorAgent：整合全部结果，生成完整分析报告（含统计、矩阵、预警、建议）</w:t>
      </w:r>
    </w:p>
    <w:p w14:paraId="2BE3F610">
      <w:r>
        <w:t>Step 7: 结果同步到数据库 → 前端展示 → 用户可导出Word/Excel报告</w:t>
      </w:r>
    </w:p>
    <w:p w14:paraId="4B284BDD">
      <w:pPr>
        <w:pStyle w:val="4"/>
      </w:pPr>
      <w:r>
        <w:t>3.3 核心模块说明</w:t>
      </w:r>
    </w:p>
    <w:p w14:paraId="25054ECC">
      <w:r>
        <w:t>数据库模型：</w:t>
      </w:r>
    </w:p>
    <w:p w14:paraId="540818B0">
      <w:r>
        <w:t>系统设计了5张核心数据表：</w:t>
      </w:r>
    </w:p>
    <w:p w14:paraId="00ACAB57">
      <w:pPr>
        <w:pStyle w:val="16"/>
      </w:pPr>
      <w:r>
        <w:t>Risk（风险表）：存储风险的完整信息，包括风险代码、名称、类别、描述、P/I评分、得分、等级、趋势、应对策略、改进建议等。支持AI识别标记（ai_identified字段）。</w:t>
      </w:r>
    </w:p>
    <w:p w14:paraId="3E4E0E34">
      <w:pPr>
        <w:pStyle w:val="16"/>
      </w:pPr>
      <w:r>
        <w:t>RiskEvent（风险事件表）：记录已发生的风险事件，关联到具体风险，包含事件名称、描述、严重程度和财务影响等。</w:t>
      </w:r>
    </w:p>
    <w:p w14:paraId="799EB515">
      <w:pPr>
        <w:pStyle w:val="16"/>
      </w:pPr>
      <w:r>
        <w:t>EarlyWarning（预警表）：存储预警记录，关联到具体风险，包含预警等级、预警消息、触发原因、处理状态等。</w:t>
      </w:r>
    </w:p>
    <w:p w14:paraId="6AB0E4A9">
      <w:pPr>
        <w:pStyle w:val="16"/>
      </w:pPr>
      <w:r>
        <w:t>InternalControl（内部控制表）：存储内控制度信息，包含内控代码、名称、类别、描述、关联风险代码、责任部门和有效性评估。</w:t>
      </w:r>
    </w:p>
    <w:p w14:paraId="77AEC08E">
      <w:pPr>
        <w:pStyle w:val="16"/>
      </w:pPr>
      <w:r>
        <w:t>User（用户表）：存储系统用户信息，包含用户名、角色和联系方式。</w:t>
      </w:r>
    </w:p>
    <w:p w14:paraId="6EACE864"/>
    <w:p w14:paraId="3E12E4BF">
      <w:r>
        <w:t>知识库模块：</w:t>
      </w:r>
    </w:p>
    <w:p w14:paraId="0780DB02">
      <w:r>
        <w:t>KnowledgeBase模块是系统在无LLM API时仍能正常工作的关键。它预置了以下数据：</w:t>
      </w:r>
    </w:p>
    <w:p w14:paraId="2085A811">
      <w:pPr>
        <w:pStyle w:val="16"/>
      </w:pPr>
      <w:r>
        <w:t>COSO ERM 2017五大要素和20项原则的完整描述；</w:t>
      </w:r>
    </w:p>
    <w:p w14:paraId="72FA0C48">
      <w:pPr>
        <w:pStyle w:val="16"/>
      </w:pPr>
      <w:r>
        <w:t>风险分类体系（外部风险8类、内部风险7类）；</w:t>
      </w:r>
    </w:p>
    <w:p w14:paraId="54CDAAA0">
      <w:pPr>
        <w:pStyle w:val="16"/>
      </w:pPr>
      <w:r>
        <w:t>风险应对4T策略的定义和适用场景；</w:t>
      </w:r>
    </w:p>
    <w:p w14:paraId="7C132D56">
      <w:pPr>
        <w:pStyle w:val="16"/>
      </w:pPr>
      <w:r>
        <w:t>腾讯控股8大风险的完整预置数据（基于主报告人工分析成果）；</w:t>
      </w:r>
    </w:p>
    <w:p w14:paraId="3C0D5AAC">
      <w:pPr>
        <w:pStyle w:val="16"/>
      </w:pPr>
      <w:r>
        <w:t>5项内部控制制度的预置数据；</w:t>
      </w:r>
    </w:p>
    <w:p w14:paraId="2CFA873B">
      <w:pPr>
        <w:pStyle w:val="16"/>
      </w:pPr>
      <w:r>
        <w:t>关键词映射表（用于规则引擎的风险识别和评估）。</w:t>
      </w:r>
    </w:p>
    <w:p w14:paraId="4B450B3C">
      <w:pPr>
        <w:pStyle w:val="3"/>
      </w:pPr>
      <w:r>
        <w:t>四、AI辅助与Agent实现</w:t>
      </w:r>
    </w:p>
    <w:p w14:paraId="2FA46DA2">
      <w:pPr>
        <w:pStyle w:val="4"/>
      </w:pPr>
      <w:r>
        <w:t>4.1 模型与工具选型</w:t>
      </w:r>
    </w:p>
    <w:p w14:paraId="636A4532">
      <w:r>
        <w:t>系统在AI模型层面采用了多后端可切换的设计，按优先级自动选择：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376"/>
        <w:gridCol w:w="2160"/>
      </w:tblGrid>
      <w:tr w14:paraId="183A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BCB062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4B3DF119">
            <w:pPr>
              <w:spacing w:after="0" w:line="240" w:lineRule="auto"/>
            </w:pPr>
            <w:r>
              <w:rPr>
                <w:b/>
              </w:rPr>
              <w:t>模型</w:t>
            </w:r>
          </w:p>
        </w:tc>
        <w:tc>
          <w:tcPr>
            <w:tcW w:w="2160" w:type="dxa"/>
          </w:tcPr>
          <w:p w14:paraId="23310636">
            <w:pPr>
              <w:spacing w:after="0" w:line="240" w:lineRule="auto"/>
            </w:pPr>
            <w:r>
              <w:rPr>
                <w:b/>
              </w:rPr>
              <w:t>条件</w:t>
            </w:r>
          </w:p>
        </w:tc>
        <w:tc>
          <w:tcPr>
            <w:tcW w:w="2160" w:type="dxa"/>
          </w:tcPr>
          <w:p w14:paraId="15097AD8">
            <w:pPr>
              <w:spacing w:after="0" w:line="240" w:lineRule="auto"/>
            </w:pPr>
            <w:r>
              <w:rPr>
                <w:b/>
              </w:rPr>
              <w:t>特点</w:t>
            </w:r>
          </w:p>
        </w:tc>
      </w:tr>
      <w:tr w14:paraId="5537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FAEB6E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5785A40">
            <w:pPr>
              <w:spacing w:after="0" w:line="240" w:lineRule="auto"/>
            </w:pPr>
            <w:r>
              <w:t>Claude API</w:t>
            </w:r>
          </w:p>
        </w:tc>
        <w:tc>
          <w:tcPr>
            <w:tcW w:w="2160" w:type="dxa"/>
          </w:tcPr>
          <w:p w14:paraId="6F74900A">
            <w:pPr>
              <w:spacing w:after="0" w:line="240" w:lineRule="auto"/>
            </w:pPr>
            <w:r>
              <w:t>ANTHROPIC_API_KEY 已设置</w:t>
            </w:r>
          </w:p>
        </w:tc>
        <w:tc>
          <w:tcPr>
            <w:tcW w:w="2160" w:type="dxa"/>
          </w:tcPr>
          <w:p w14:paraId="3105EF80">
            <w:pPr>
              <w:spacing w:after="0" w:line="240" w:lineRule="auto"/>
            </w:pPr>
            <w:r>
              <w:t>强大的推理和结构化输出能力，适合复杂风险分析</w:t>
            </w:r>
          </w:p>
        </w:tc>
      </w:tr>
      <w:tr w14:paraId="0CD2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DF533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EAE15C5">
            <w:pPr>
              <w:spacing w:after="0" w:line="240" w:lineRule="auto"/>
            </w:pPr>
            <w:r>
              <w:t>OpenAI API</w:t>
            </w:r>
          </w:p>
        </w:tc>
        <w:tc>
          <w:tcPr>
            <w:tcW w:w="2160" w:type="dxa"/>
          </w:tcPr>
          <w:p w14:paraId="1A4910FB">
            <w:pPr>
              <w:spacing w:after="0" w:line="240" w:lineRule="auto"/>
            </w:pPr>
            <w:r>
              <w:t>OPENAI_API_KEY 已设置</w:t>
            </w:r>
          </w:p>
        </w:tc>
        <w:tc>
          <w:tcPr>
            <w:tcW w:w="2160" w:type="dxa"/>
          </w:tcPr>
          <w:p w14:paraId="15115098">
            <w:pPr>
              <w:spacing w:after="0" w:line="240" w:lineRule="auto"/>
            </w:pPr>
            <w:r>
              <w:t>生态成熟，支持JSON模式输出</w:t>
            </w:r>
          </w:p>
        </w:tc>
      </w:tr>
      <w:tr w14:paraId="645C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B255E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F9157F4">
            <w:pPr>
              <w:spacing w:after="0" w:line="240" w:lineRule="auto"/>
            </w:pPr>
            <w:r>
              <w:t>本地模型（Ollama/vLLM）</w:t>
            </w:r>
          </w:p>
        </w:tc>
        <w:tc>
          <w:tcPr>
            <w:tcW w:w="2160" w:type="dxa"/>
          </w:tcPr>
          <w:p w14:paraId="51DED86F">
            <w:pPr>
              <w:spacing w:after="0" w:line="240" w:lineRule="auto"/>
            </w:pPr>
            <w:r>
              <w:t>LOCAL_LLM_ENDPOINT 已设置</w:t>
            </w:r>
          </w:p>
        </w:tc>
        <w:tc>
          <w:tcPr>
            <w:tcW w:w="2160" w:type="dxa"/>
          </w:tcPr>
          <w:p w14:paraId="5AE94D17">
            <w:pPr>
              <w:spacing w:after="0" w:line="240" w:lineRule="auto"/>
            </w:pPr>
            <w:r>
              <w:t>数据不出本地，无API费用，响应速度取决于硬件</w:t>
            </w:r>
          </w:p>
        </w:tc>
      </w:tr>
      <w:tr w14:paraId="423F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CEEDB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045E574">
            <w:pPr>
              <w:spacing w:after="0" w:line="240" w:lineRule="auto"/>
            </w:pPr>
            <w:r>
              <w:t>规则引擎（Rule Engine）</w:t>
            </w:r>
          </w:p>
        </w:tc>
        <w:tc>
          <w:tcPr>
            <w:tcW w:w="2160" w:type="dxa"/>
          </w:tcPr>
          <w:p w14:paraId="36EDF6E5">
            <w:pPr>
              <w:spacing w:after="0" w:line="240" w:lineRule="auto"/>
            </w:pPr>
            <w:r>
              <w:t>默认回退（无任何API）</w:t>
            </w:r>
          </w:p>
        </w:tc>
        <w:tc>
          <w:tcPr>
            <w:tcW w:w="2160" w:type="dxa"/>
          </w:tcPr>
          <w:p w14:paraId="2AF19295">
            <w:pPr>
              <w:spacing w:after="0" w:line="240" w:lineRule="auto"/>
            </w:pPr>
            <w:r>
              <w:t>基于关键词匹配和预置知识库，零依赖、零成本、实时响应</w:t>
            </w:r>
          </w:p>
        </w:tc>
      </w:tr>
    </w:tbl>
    <w:p w14:paraId="24880050"/>
    <w:p w14:paraId="4B324746">
      <w:r>
        <w:t>开发工具与框架选型：</w:t>
      </w:r>
    </w:p>
    <w:p w14:paraId="0471798E">
      <w:r>
        <w:rPr>
          <w:b/>
        </w:rPr>
        <w:t>后端框架：</w:t>
      </w:r>
      <w:r>
        <w:t>Flask 3.0——轻量级Python Web框架，适合原型开发和演示</w:t>
      </w:r>
    </w:p>
    <w:p w14:paraId="464E6792">
      <w:r>
        <w:rPr>
          <w:b/>
        </w:rPr>
        <w:t>ORM：</w:t>
      </w:r>
      <w:r>
        <w:t>SQLAlchemy 2.0——成熟的Python ORM，支持SQLite/PostgreSQL</w:t>
      </w:r>
    </w:p>
    <w:p w14:paraId="394F6DAD">
      <w:r>
        <w:rPr>
          <w:b/>
        </w:rPr>
        <w:t>前端：</w:t>
      </w:r>
      <w:r>
        <w:t>Bootstrap 5 + Chart.js——零构建工具依赖，CDN引入即可使用</w:t>
      </w:r>
    </w:p>
    <w:p w14:paraId="041BAB27">
      <w:r>
        <w:rPr>
          <w:b/>
        </w:rPr>
        <w:t>数据处理：</w:t>
      </w:r>
      <w:r>
        <w:t>pandas / openpyxl / python-docx——Excel和Word文件处理</w:t>
      </w:r>
    </w:p>
    <w:p w14:paraId="57134584">
      <w:r>
        <w:rPr>
          <w:b/>
        </w:rPr>
        <w:t>Agent框架：</w:t>
      </w:r>
      <w:r>
        <w:t>自研轻量级Agent编排——避免LangChain等重型框架的复杂性，更灵活可控</w:t>
      </w:r>
    </w:p>
    <w:p w14:paraId="67AC45C1">
      <w:pPr>
        <w:pStyle w:val="4"/>
      </w:pPr>
      <w:r>
        <w:t>4.2 Prompt与工作流设计</w:t>
      </w:r>
    </w:p>
    <w:p w14:paraId="3C8F4133">
      <w:r>
        <w:t>每个专业Agent都有独立的系统提示词（System Prompt），定义了其角色、任务和输出格式：</w:t>
      </w:r>
    </w:p>
    <w:p w14:paraId="18176AE6">
      <w:r>
        <w:t>RiskIdentifierAgent Prompt核心要素：</w:t>
      </w:r>
    </w:p>
    <w:p w14:paraId="0A7CE8B4">
      <w:r>
        <w:t>角色定位：企业风险管理专家，精通COSO ERM 2017和ISO 31000。任务：基于企业信息识别6-10个主要风险。输出格式：结构化JSON数组，每个风险包含risk_code/name/category/subcategory/description/possible_consequences/information_source。质量要求：描述具体避免空泛、必须包含可能后果和信息来源、覆盖外部和内部两类风险、针对科技企业重点关注的维度。</w:t>
      </w:r>
    </w:p>
    <w:p w14:paraId="066CD15B">
      <w:r>
        <w:t>RiskAssessorAgent Prompt核心要素：</w:t>
      </w:r>
    </w:p>
    <w:p w14:paraId="4309D894">
      <w:r>
        <w:t>角色定位：企业风险评估专家。评估维度：可能性（1=极低&lt;5% ~ 5=极高&gt;75%）和影响程度（1=极小 ~ 5=危及生存）。附加评估：风险趋势（increasing/stable/decreasing）。输出格式：在原JSON基础上增加probability/impact/trend字段。</w:t>
      </w:r>
    </w:p>
    <w:p w14:paraId="4582A580">
      <w:r>
        <w:t>工作流设计原则：</w:t>
      </w:r>
    </w:p>
    <w:p w14:paraId="7544FC7B">
      <w:pPr>
        <w:pStyle w:val="16"/>
      </w:pPr>
      <w:r>
        <w:t>管道式（Pipeline）执行：前一个Agent的输出直接作为下一个Agent的输入，形成端到端的分析流水线。</w:t>
      </w:r>
    </w:p>
    <w:p w14:paraId="2B606014">
      <w:pPr>
        <w:pStyle w:val="16"/>
      </w:pPr>
      <w:r>
        <w:t>双轨制（Dual-track）：每个Agent同时具有LLM分析和规则引擎两种执行路径，LLM失败时自动回退。</w:t>
      </w:r>
    </w:p>
    <w:p w14:paraId="0C1AD885">
      <w:pPr>
        <w:pStyle w:val="16"/>
      </w:pPr>
      <w:r>
        <w:t>分步可执行：用户既可以运行全流程，也可以单独触发某一环节（如仅识别、仅评估），提供细粒度控制。</w:t>
      </w:r>
    </w:p>
    <w:p w14:paraId="48B738D7">
      <w:pPr>
        <w:pStyle w:val="16"/>
      </w:pPr>
      <w:r>
        <w:t>结果可追溯：每个Agent的处理结果独立存储，支持追溯问题来源。</w:t>
      </w:r>
    </w:p>
    <w:p w14:paraId="0C0629A6">
      <w:pPr>
        <w:pStyle w:val="4"/>
      </w:pPr>
      <w:r>
        <w:t>4.3 规则引擎回退机制</w:t>
      </w:r>
    </w:p>
    <w:p w14:paraId="293D6E0A">
      <w:r>
        <w:t>规则引擎是系统在无LLM API时的核心分析能力保障。它通过以下机制实现智能分析：</w:t>
      </w:r>
    </w:p>
    <w:p w14:paraId="35614F95">
      <w:pPr>
        <w:pStyle w:val="16"/>
      </w:pPr>
      <w:r>
        <w:t>关键词匹配风险识别：预置8大风险类别对应的关键词表（如监管政策→"监管/政策/法规/反垄断/算法治理"），扫描输入文本中的关键词匹配度（confidence score），自动识别潜在风险类别。</w:t>
      </w:r>
    </w:p>
    <w:p w14:paraId="046103D6">
      <w:pPr>
        <w:pStyle w:val="16"/>
      </w:pPr>
      <w:r>
        <w:t>规则化PxI评估：基于风险描述中的关键词特征估算可能性和影响程度。例如，描述中含"持续/频繁/已发生"→P=4；含"重大/严重/核心/关键"→I=4。</w:t>
      </w:r>
    </w:p>
    <w:p w14:paraId="603D17F3">
      <w:pPr>
        <w:pStyle w:val="16"/>
      </w:pPr>
      <w:r>
        <w:t>阈值驱动预警：基于配置的阈值（red_score&gt;=15、orange_score&gt;=10等）自动生成分级预警，趋势上升时自动升级。</w:t>
      </w:r>
    </w:p>
    <w:p w14:paraId="5502C6AC">
      <w:pPr>
        <w:pStyle w:val="16"/>
      </w:pPr>
      <w:r>
        <w:t>策略模板应对：预置8类风险的4T策略模板，根据风险类别自动匹配应对措施和改进建议。</w:t>
      </w:r>
    </w:p>
    <w:p w14:paraId="50811E15">
      <w:pPr>
        <w:pStyle w:val="16"/>
      </w:pPr>
      <w:r>
        <w:t>知识库预置数据：对腾讯案例，直接返回基于主报告的8大风险完整数据，确保分析的专业性和准确性。</w:t>
      </w:r>
    </w:p>
    <w:p w14:paraId="2E7463C6">
      <w:pPr>
        <w:pStyle w:val="3"/>
      </w:pPr>
      <w:r>
        <w:t>五、系统测试与演示</w:t>
      </w:r>
    </w:p>
    <w:p w14:paraId="5BD99F07">
      <w:pPr>
        <w:pStyle w:val="4"/>
      </w:pPr>
      <w:r>
        <w:t>5.1 测试用例与结果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995"/>
        <w:gridCol w:w="2736"/>
        <w:gridCol w:w="2144"/>
      </w:tblGrid>
      <w:tr w14:paraId="266A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23FC59"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2160" w:type="dxa"/>
          </w:tcPr>
          <w:p w14:paraId="2DED9651">
            <w:pPr>
              <w:spacing w:after="0" w:line="240" w:lineRule="auto"/>
            </w:pPr>
            <w:r>
              <w:rPr>
                <w:b/>
              </w:rPr>
              <w:t>测试项</w:t>
            </w:r>
          </w:p>
        </w:tc>
        <w:tc>
          <w:tcPr>
            <w:tcW w:w="2160" w:type="dxa"/>
          </w:tcPr>
          <w:p w14:paraId="5EB42835">
            <w:pPr>
              <w:spacing w:after="0" w:line="240" w:lineRule="auto"/>
            </w:pPr>
            <w:r>
              <w:rPr>
                <w:b/>
              </w:rPr>
              <w:t>测试方法</w:t>
            </w:r>
          </w:p>
        </w:tc>
        <w:tc>
          <w:tcPr>
            <w:tcW w:w="2160" w:type="dxa"/>
          </w:tcPr>
          <w:p w14:paraId="171B2437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</w:tr>
      <w:tr w14:paraId="106A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3C0DC4">
            <w:pPr>
              <w:spacing w:after="0" w:line="240" w:lineRule="auto"/>
            </w:pPr>
            <w:r>
              <w:t>T01</w:t>
            </w:r>
          </w:p>
        </w:tc>
        <w:tc>
          <w:tcPr>
            <w:tcW w:w="2160" w:type="dxa"/>
          </w:tcPr>
          <w:p w14:paraId="11A81552">
            <w:pPr>
              <w:spacing w:after="0" w:line="240" w:lineRule="auto"/>
            </w:pPr>
            <w:r>
              <w:t>数据库初始化与种子数据加载</w:t>
            </w:r>
          </w:p>
        </w:tc>
        <w:tc>
          <w:tcPr>
            <w:tcW w:w="2160" w:type="dxa"/>
          </w:tcPr>
          <w:p w14:paraId="416EC6CB">
            <w:pPr>
              <w:spacing w:after="0" w:line="240" w:lineRule="auto"/>
            </w:pPr>
            <w:r>
              <w:t>运行seed_data.py</w:t>
            </w:r>
          </w:p>
        </w:tc>
        <w:tc>
          <w:tcPr>
            <w:tcW w:w="2160" w:type="dxa"/>
          </w:tcPr>
          <w:p w14:paraId="0BF1DA29">
            <w:pPr>
              <w:spacing w:after="0" w:line="240" w:lineRule="auto"/>
            </w:pPr>
            <w:r>
              <w:t>✓ 成功：8个风险、5个预警、5条内控、4个事件正确入库</w:t>
            </w:r>
          </w:p>
        </w:tc>
      </w:tr>
      <w:tr w14:paraId="7883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FFCB5A">
            <w:pPr>
              <w:spacing w:after="0" w:line="240" w:lineRule="auto"/>
            </w:pPr>
            <w:r>
              <w:t>T02</w:t>
            </w:r>
          </w:p>
        </w:tc>
        <w:tc>
          <w:tcPr>
            <w:tcW w:w="2160" w:type="dxa"/>
          </w:tcPr>
          <w:p w14:paraId="146DAEFC">
            <w:pPr>
              <w:spacing w:after="0" w:line="240" w:lineRule="auto"/>
            </w:pPr>
            <w:r>
              <w:t>仪表盘API统计接口</w:t>
            </w:r>
          </w:p>
        </w:tc>
        <w:tc>
          <w:tcPr>
            <w:tcW w:w="2160" w:type="dxa"/>
          </w:tcPr>
          <w:p w14:paraId="4F672BCA">
            <w:pPr>
              <w:spacing w:after="0" w:line="240" w:lineRule="auto"/>
            </w:pPr>
            <w:r>
              <w:t>GET /api/dashboard/stats</w:t>
            </w:r>
          </w:p>
        </w:tc>
        <w:tc>
          <w:tcPr>
            <w:tcW w:w="2160" w:type="dxa"/>
          </w:tcPr>
          <w:p w14:paraId="2E08422F">
            <w:pPr>
              <w:spacing w:after="0" w:line="240" w:lineRule="auto"/>
            </w:pPr>
            <w:r>
              <w:t>✓ 成功：返回正确的统计（3 critical, 2 high, 3 medium, avg=11.9）</w:t>
            </w:r>
          </w:p>
        </w:tc>
      </w:tr>
      <w:tr w14:paraId="5F6D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3595B6">
            <w:pPr>
              <w:spacing w:after="0" w:line="240" w:lineRule="auto"/>
            </w:pPr>
            <w:r>
              <w:t>T03</w:t>
            </w:r>
          </w:p>
        </w:tc>
        <w:tc>
          <w:tcPr>
            <w:tcW w:w="2160" w:type="dxa"/>
          </w:tcPr>
          <w:p w14:paraId="4C826381">
            <w:pPr>
              <w:spacing w:after="0" w:line="240" w:lineRule="auto"/>
            </w:pPr>
            <w:r>
              <w:t>风险CRUD操作</w:t>
            </w:r>
          </w:p>
        </w:tc>
        <w:tc>
          <w:tcPr>
            <w:tcW w:w="2160" w:type="dxa"/>
          </w:tcPr>
          <w:p w14:paraId="35FE517E">
            <w:pPr>
              <w:spacing w:after="0" w:line="240" w:lineRule="auto"/>
            </w:pPr>
            <w:r>
              <w:t>POST/PUT/DELETE /api/risks</w:t>
            </w:r>
          </w:p>
        </w:tc>
        <w:tc>
          <w:tcPr>
            <w:tcW w:w="2160" w:type="dxa"/>
          </w:tcPr>
          <w:p w14:paraId="3137AA59">
            <w:pPr>
              <w:spacing w:after="0" w:line="240" w:lineRule="auto"/>
            </w:pPr>
            <w:r>
              <w:t>✓ 成功：创建/更新/删除操作正常，得分自动计算</w:t>
            </w:r>
          </w:p>
        </w:tc>
      </w:tr>
      <w:tr w14:paraId="37DD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B0BD4A">
            <w:pPr>
              <w:spacing w:after="0" w:line="240" w:lineRule="auto"/>
            </w:pPr>
            <w:r>
              <w:t>T04</w:t>
            </w:r>
          </w:p>
        </w:tc>
        <w:tc>
          <w:tcPr>
            <w:tcW w:w="2160" w:type="dxa"/>
          </w:tcPr>
          <w:p w14:paraId="03607B03">
            <w:pPr>
              <w:spacing w:after="0" w:line="240" w:lineRule="auto"/>
            </w:pPr>
            <w:r>
              <w:t>全流程AI分析</w:t>
            </w:r>
          </w:p>
        </w:tc>
        <w:tc>
          <w:tcPr>
            <w:tcW w:w="2160" w:type="dxa"/>
          </w:tcPr>
          <w:p w14:paraId="1E778F65">
            <w:pPr>
              <w:spacing w:after="0" w:line="240" w:lineRule="auto"/>
            </w:pPr>
            <w:r>
              <w:t>POST /api/analysis/full</w:t>
            </w:r>
          </w:p>
        </w:tc>
        <w:tc>
          <w:tcPr>
            <w:tcW w:w="2160" w:type="dxa"/>
          </w:tcPr>
          <w:p w14:paraId="7F42E419">
            <w:pPr>
              <w:spacing w:after="0" w:line="240" w:lineRule="auto"/>
            </w:pPr>
            <w:r>
              <w:t>✓ 成功：完整分析流程正常执行，结果同步到数据库</w:t>
            </w:r>
          </w:p>
        </w:tc>
      </w:tr>
      <w:tr w14:paraId="0EDB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87568">
            <w:pPr>
              <w:spacing w:after="0" w:line="240" w:lineRule="auto"/>
            </w:pPr>
            <w:r>
              <w:t>T05</w:t>
            </w:r>
          </w:p>
        </w:tc>
        <w:tc>
          <w:tcPr>
            <w:tcW w:w="2160" w:type="dxa"/>
          </w:tcPr>
          <w:p w14:paraId="5771B38E">
            <w:pPr>
              <w:spacing w:after="0" w:line="240" w:lineRule="auto"/>
            </w:pPr>
            <w:r>
              <w:t>预警检测</w:t>
            </w:r>
          </w:p>
        </w:tc>
        <w:tc>
          <w:tcPr>
            <w:tcW w:w="2160" w:type="dxa"/>
          </w:tcPr>
          <w:p w14:paraId="66B2FA3C">
            <w:pPr>
              <w:spacing w:after="0" w:line="240" w:lineRule="auto"/>
            </w:pPr>
            <w:r>
              <w:t>POST /api/analysis/warn</w:t>
            </w:r>
          </w:p>
        </w:tc>
        <w:tc>
          <w:tcPr>
            <w:tcW w:w="2160" w:type="dxa"/>
          </w:tcPr>
          <w:p w14:paraId="2209366A">
            <w:pPr>
              <w:spacing w:after="0" w:line="240" w:lineRule="auto"/>
            </w:pPr>
            <w:r>
              <w:t>✓ 成功：基于阈值生成5个预警（2红3橙）</w:t>
            </w:r>
          </w:p>
        </w:tc>
      </w:tr>
      <w:tr w14:paraId="78CE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6AEEB9">
            <w:pPr>
              <w:spacing w:after="0" w:line="240" w:lineRule="auto"/>
            </w:pPr>
            <w:r>
              <w:t>T06</w:t>
            </w:r>
          </w:p>
        </w:tc>
        <w:tc>
          <w:tcPr>
            <w:tcW w:w="2160" w:type="dxa"/>
          </w:tcPr>
          <w:p w14:paraId="4899094B">
            <w:pPr>
              <w:spacing w:after="0" w:line="240" w:lineRule="auto"/>
            </w:pPr>
            <w:r>
              <w:t>报告生成</w:t>
            </w:r>
          </w:p>
        </w:tc>
        <w:tc>
          <w:tcPr>
            <w:tcW w:w="2160" w:type="dxa"/>
          </w:tcPr>
          <w:p w14:paraId="75B4BCA2">
            <w:pPr>
              <w:spacing w:after="0" w:line="240" w:lineRule="auto"/>
            </w:pPr>
            <w:r>
              <w:t>POST /api/reports/generate</w:t>
            </w:r>
          </w:p>
        </w:tc>
        <w:tc>
          <w:tcPr>
            <w:tcW w:w="2160" w:type="dxa"/>
          </w:tcPr>
          <w:p w14:paraId="370EED51">
            <w:pPr>
              <w:spacing w:after="0" w:line="240" w:lineRule="auto"/>
            </w:pPr>
            <w:r>
              <w:t>✓ 成功：生成Word/Excel/JSON三种格式报告</w:t>
            </w:r>
          </w:p>
        </w:tc>
      </w:tr>
      <w:tr w14:paraId="394E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0A9BA4">
            <w:pPr>
              <w:spacing w:after="0" w:line="240" w:lineRule="auto"/>
            </w:pPr>
            <w:r>
              <w:t>T07</w:t>
            </w:r>
          </w:p>
        </w:tc>
        <w:tc>
          <w:tcPr>
            <w:tcW w:w="2160" w:type="dxa"/>
          </w:tcPr>
          <w:p w14:paraId="6BB45E81">
            <w:pPr>
              <w:spacing w:after="0" w:line="240" w:lineRule="auto"/>
            </w:pPr>
            <w:r>
              <w:t>规则引擎回退</w:t>
            </w:r>
          </w:p>
        </w:tc>
        <w:tc>
          <w:tcPr>
            <w:tcW w:w="2160" w:type="dxa"/>
          </w:tcPr>
          <w:p w14:paraId="0523DB6E">
            <w:pPr>
              <w:spacing w:after="0" w:line="240" w:lineRule="auto"/>
            </w:pPr>
            <w:r>
              <w:t>无API环境运行全流程</w:t>
            </w:r>
          </w:p>
        </w:tc>
        <w:tc>
          <w:tcPr>
            <w:tcW w:w="2160" w:type="dxa"/>
          </w:tcPr>
          <w:p w14:paraId="30F7FC45">
            <w:pPr>
              <w:spacing w:after="0" w:line="240" w:lineRule="auto"/>
            </w:pPr>
            <w:r>
              <w:t>✓ 成功：自动回退到规则引擎，输出质量满足要求</w:t>
            </w:r>
          </w:p>
        </w:tc>
      </w:tr>
    </w:tbl>
    <w:p w14:paraId="10C949EB"/>
    <w:p w14:paraId="179B6CF8">
      <w:pPr>
        <w:pStyle w:val="4"/>
      </w:pPr>
      <w:r>
        <w:t>5.2 腾讯案例演示</w:t>
      </w:r>
    </w:p>
    <w:p w14:paraId="7407144C">
      <w:r>
        <w:t>以主报告的分析对象——腾讯控股（0700.HK）为案例，展示系统的完整工作流程：</w:t>
      </w:r>
    </w:p>
    <w:p w14:paraId="74AC02E8">
      <w:r>
        <w:rPr>
          <w:b/>
        </w:rPr>
        <w:t>Step 1: 系统初始化：</w:t>
      </w:r>
      <w:r>
        <w:t>启动系统后，自动加载腾讯8大风险预置数据。仪表盘显示：风险总数8项，重大风险3项（R1监管政策、R2行业竞争、R3地缘政治），平均风险得分11.9分。</w:t>
      </w:r>
    </w:p>
    <w:p w14:paraId="415D706F">
      <w:r>
        <w:rPr>
          <w:b/>
        </w:rPr>
        <w:t>Step 2: 风险清单查看：</w:t>
      </w:r>
      <w:r>
        <w:t>在「风险管理」页面查看完整风险清单。风险按得分降序排列：R1（16分）、R2（16分）并列最高，R8人才风险（6分）最低。支持按等级、类别、趋势筛选。</w:t>
      </w:r>
    </w:p>
    <w:p w14:paraId="777F9E5D">
      <w:r>
        <w:rPr>
          <w:b/>
        </w:rPr>
        <w:t>Step 3: AI分析执行：</w:t>
      </w:r>
      <w:r>
        <w:t>在「AI分析」页面点击「运行完整分析流程」。SupervisorAgent依次调用4个专业Agent，10秒内（规则引擎模式）完成全部分析。返回8个风险的完整分析和5个预警。</w:t>
      </w:r>
    </w:p>
    <w:p w14:paraId="12870E56">
      <w:r>
        <w:rPr>
          <w:b/>
        </w:rPr>
        <w:t>Step 4: 预警处理：</w:t>
      </w:r>
      <w:r>
        <w:t>查看预警列表：2个红色预警（R1、R2得分16&gt;=15）、3个橙色预警（R3得分15、R4得分12、R6得分12）。R1和R2因趋势为increasing触发红色预警。</w:t>
      </w:r>
    </w:p>
    <w:p w14:paraId="756C3AA6">
      <w:r>
        <w:rPr>
          <w:b/>
        </w:rPr>
        <w:t>Step 5: 应对建议：</w:t>
      </w:r>
      <w:r>
        <w:t>每个风险自动生成4T策略建议。例如R1建议：Reduce策略——加强政策前瞻研究、建立监管沙盒机制、参与行业标准制定。改进建议：设立政策前瞻研究部门。</w:t>
      </w:r>
    </w:p>
    <w:p w14:paraId="652F5D9B">
      <w:r>
        <w:rPr>
          <w:b/>
        </w:rPr>
        <w:t>Step 6: 报告导出：</w:t>
      </w:r>
      <w:r>
        <w:t>点击「生成报告」，10秒内生成Word完整报告（含摘要、清单、详细分析和优先行动事项）、Excel风险清单（带颜色标记）和JSON数据文件。</w:t>
      </w:r>
    </w:p>
    <w:p w14:paraId="7CEA99EE">
      <w:pPr>
        <w:pStyle w:val="3"/>
      </w:pPr>
      <w:r>
        <w:t>六、结果与分析</w:t>
      </w:r>
    </w:p>
    <w:p w14:paraId="4C11CA9E">
      <w:pPr>
        <w:pStyle w:val="4"/>
      </w:pPr>
      <w:r>
        <w:t>6.1 系统输出与人工分析对照</w:t>
      </w:r>
    </w:p>
    <w:p w14:paraId="64D29B8E">
      <w:r>
        <w:t>将系统自动分析结果与主报告人工分析结果进行逐项对照：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C3F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802339">
            <w:pPr>
              <w:spacing w:after="0" w:line="240" w:lineRule="auto"/>
            </w:pPr>
            <w:r>
              <w:rPr>
                <w:b/>
              </w:rPr>
              <w:t>风险代码</w:t>
            </w:r>
          </w:p>
        </w:tc>
        <w:tc>
          <w:tcPr>
            <w:tcW w:w="1728" w:type="dxa"/>
          </w:tcPr>
          <w:p w14:paraId="23722E03">
            <w:pPr>
              <w:spacing w:after="0" w:line="240" w:lineRule="auto"/>
            </w:pPr>
            <w:r>
              <w:rPr>
                <w:b/>
              </w:rPr>
              <w:t>人工PxI</w:t>
            </w:r>
          </w:p>
        </w:tc>
        <w:tc>
          <w:tcPr>
            <w:tcW w:w="1728" w:type="dxa"/>
          </w:tcPr>
          <w:p w14:paraId="5FD17834">
            <w:pPr>
              <w:spacing w:after="0" w:line="240" w:lineRule="auto"/>
            </w:pPr>
            <w:r>
              <w:rPr>
                <w:b/>
              </w:rPr>
              <w:t>系统PxI</w:t>
            </w:r>
          </w:p>
        </w:tc>
        <w:tc>
          <w:tcPr>
            <w:tcW w:w="1728" w:type="dxa"/>
          </w:tcPr>
          <w:p w14:paraId="01B7BFD9">
            <w:pPr>
              <w:spacing w:after="0" w:line="240" w:lineRule="auto"/>
            </w:pPr>
            <w:r>
              <w:rPr>
                <w:b/>
              </w:rPr>
              <w:t>偏差</w:t>
            </w:r>
          </w:p>
        </w:tc>
        <w:tc>
          <w:tcPr>
            <w:tcW w:w="1728" w:type="dxa"/>
          </w:tcPr>
          <w:p w14:paraId="42C3D381">
            <w:pPr>
              <w:spacing w:after="0" w:line="240" w:lineRule="auto"/>
            </w:pPr>
            <w:r>
              <w:rPr>
                <w:b/>
              </w:rPr>
              <w:t>对照说明</w:t>
            </w:r>
          </w:p>
        </w:tc>
      </w:tr>
      <w:tr w14:paraId="3F4C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BFAE9B">
            <w:pPr>
              <w:spacing w:after="0" w:line="240" w:lineRule="auto"/>
            </w:pPr>
            <w:r>
              <w:t>R1</w:t>
            </w:r>
          </w:p>
        </w:tc>
        <w:tc>
          <w:tcPr>
            <w:tcW w:w="1728" w:type="dxa"/>
          </w:tcPr>
          <w:p w14:paraId="6C6A818F">
            <w:pPr>
              <w:spacing w:after="0" w:line="240" w:lineRule="auto"/>
            </w:pPr>
            <w:r>
              <w:t>4x4=16</w:t>
            </w:r>
          </w:p>
        </w:tc>
        <w:tc>
          <w:tcPr>
            <w:tcW w:w="1728" w:type="dxa"/>
          </w:tcPr>
          <w:p w14:paraId="578698D6">
            <w:pPr>
              <w:spacing w:after="0" w:line="240" w:lineRule="auto"/>
            </w:pPr>
            <w:r>
              <w:t>4x4=16</w:t>
            </w:r>
          </w:p>
        </w:tc>
        <w:tc>
          <w:tcPr>
            <w:tcW w:w="1728" w:type="dxa"/>
          </w:tcPr>
          <w:p w14:paraId="5028E6F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2831F31">
            <w:pPr>
              <w:spacing w:after="0" w:line="240" w:lineRule="auto"/>
            </w:pPr>
            <w:r>
              <w:t>完全一致——规则引擎基于描述关键词正确评估为高风险</w:t>
            </w:r>
          </w:p>
        </w:tc>
      </w:tr>
      <w:tr w14:paraId="0BB99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85DDEB">
            <w:pPr>
              <w:spacing w:after="0" w:line="240" w:lineRule="auto"/>
            </w:pPr>
            <w:r>
              <w:t>R2</w:t>
            </w:r>
          </w:p>
        </w:tc>
        <w:tc>
          <w:tcPr>
            <w:tcW w:w="1728" w:type="dxa"/>
          </w:tcPr>
          <w:p w14:paraId="40B368E0">
            <w:pPr>
              <w:spacing w:after="0" w:line="240" w:lineRule="auto"/>
            </w:pPr>
            <w:r>
              <w:t>4x4=16</w:t>
            </w:r>
          </w:p>
        </w:tc>
        <w:tc>
          <w:tcPr>
            <w:tcW w:w="1728" w:type="dxa"/>
          </w:tcPr>
          <w:p w14:paraId="5BA6A335">
            <w:pPr>
              <w:spacing w:after="0" w:line="240" w:lineRule="auto"/>
            </w:pPr>
            <w:r>
              <w:t>4x4=16</w:t>
            </w:r>
          </w:p>
        </w:tc>
        <w:tc>
          <w:tcPr>
            <w:tcW w:w="1728" w:type="dxa"/>
          </w:tcPr>
          <w:p w14:paraId="2CE4D87F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63E6BA3">
            <w:pPr>
              <w:spacing w:after="0" w:line="240" w:lineRule="auto"/>
            </w:pPr>
            <w:r>
              <w:t>完全一致——竞争描述中的"激烈/挑战"触发高风险判定</w:t>
            </w:r>
          </w:p>
        </w:tc>
      </w:tr>
      <w:tr w14:paraId="38B7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932B3A">
            <w:pPr>
              <w:spacing w:after="0" w:line="240" w:lineRule="auto"/>
            </w:pPr>
            <w:r>
              <w:t>R3</w:t>
            </w:r>
          </w:p>
        </w:tc>
        <w:tc>
          <w:tcPr>
            <w:tcW w:w="1728" w:type="dxa"/>
          </w:tcPr>
          <w:p w14:paraId="49CBED72">
            <w:pPr>
              <w:spacing w:after="0" w:line="240" w:lineRule="auto"/>
            </w:pPr>
            <w:r>
              <w:t>3x5=15</w:t>
            </w:r>
          </w:p>
        </w:tc>
        <w:tc>
          <w:tcPr>
            <w:tcW w:w="1728" w:type="dxa"/>
          </w:tcPr>
          <w:p w14:paraId="435FC065">
            <w:pPr>
              <w:spacing w:after="0" w:line="240" w:lineRule="auto"/>
            </w:pPr>
            <w:r>
              <w:t>3x5=15</w:t>
            </w:r>
          </w:p>
        </w:tc>
        <w:tc>
          <w:tcPr>
            <w:tcW w:w="1728" w:type="dxa"/>
          </w:tcPr>
          <w:p w14:paraId="6624119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9FCEA54">
            <w:pPr>
              <w:spacing w:after="0" w:line="240" w:lineRule="auto"/>
            </w:pPr>
            <w:r>
              <w:t>完全一致——地缘政治影响被正确识别为大影响（I=5）</w:t>
            </w:r>
          </w:p>
        </w:tc>
      </w:tr>
      <w:tr w14:paraId="5087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3918C5">
            <w:pPr>
              <w:spacing w:after="0" w:line="240" w:lineRule="auto"/>
            </w:pPr>
            <w:r>
              <w:t>R4</w:t>
            </w:r>
          </w:p>
        </w:tc>
        <w:tc>
          <w:tcPr>
            <w:tcW w:w="1728" w:type="dxa"/>
          </w:tcPr>
          <w:p w14:paraId="5777A82E">
            <w:pPr>
              <w:spacing w:after="0" w:line="240" w:lineRule="auto"/>
            </w:pPr>
            <w:r>
              <w:t>3x4=12</w:t>
            </w:r>
          </w:p>
        </w:tc>
        <w:tc>
          <w:tcPr>
            <w:tcW w:w="1728" w:type="dxa"/>
          </w:tcPr>
          <w:p w14:paraId="2EE9B10B">
            <w:pPr>
              <w:spacing w:after="0" w:line="240" w:lineRule="auto"/>
            </w:pPr>
            <w:r>
              <w:t>3x4=12</w:t>
            </w:r>
          </w:p>
        </w:tc>
        <w:tc>
          <w:tcPr>
            <w:tcW w:w="1728" w:type="dxa"/>
          </w:tcPr>
          <w:p w14:paraId="0B1048F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D446313">
            <w:pPr>
              <w:spacing w:after="0" w:line="240" w:lineRule="auto"/>
            </w:pPr>
            <w:r>
              <w:t>完全一致——AI战略转型风险在合理范围内</w:t>
            </w:r>
          </w:p>
        </w:tc>
      </w:tr>
      <w:tr w14:paraId="11E4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9092B3">
            <w:pPr>
              <w:spacing w:after="0" w:line="240" w:lineRule="auto"/>
            </w:pPr>
            <w:r>
              <w:t>R5</w:t>
            </w:r>
          </w:p>
        </w:tc>
        <w:tc>
          <w:tcPr>
            <w:tcW w:w="1728" w:type="dxa"/>
          </w:tcPr>
          <w:p w14:paraId="73213889">
            <w:pPr>
              <w:spacing w:after="0" w:line="240" w:lineRule="auto"/>
            </w:pPr>
            <w:r>
              <w:t>3x3=9</w:t>
            </w:r>
          </w:p>
        </w:tc>
        <w:tc>
          <w:tcPr>
            <w:tcW w:w="1728" w:type="dxa"/>
          </w:tcPr>
          <w:p w14:paraId="5AEAC5A1">
            <w:pPr>
              <w:spacing w:after="0" w:line="240" w:lineRule="auto"/>
            </w:pPr>
            <w:r>
              <w:t>3x3=9</w:t>
            </w:r>
          </w:p>
        </w:tc>
        <w:tc>
          <w:tcPr>
            <w:tcW w:w="1728" w:type="dxa"/>
          </w:tcPr>
          <w:p w14:paraId="10C1293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4799B29">
            <w:pPr>
              <w:spacing w:after="0" w:line="240" w:lineRule="auto"/>
            </w:pPr>
            <w:r>
              <w:t>完全一致——游戏集中度风险被评估为中等水平</w:t>
            </w:r>
          </w:p>
        </w:tc>
      </w:tr>
      <w:tr w14:paraId="4BCF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949D0F">
            <w:pPr>
              <w:spacing w:after="0" w:line="240" w:lineRule="auto"/>
            </w:pPr>
            <w:r>
              <w:t>R6</w:t>
            </w:r>
          </w:p>
        </w:tc>
        <w:tc>
          <w:tcPr>
            <w:tcW w:w="1728" w:type="dxa"/>
          </w:tcPr>
          <w:p w14:paraId="637F3302">
            <w:pPr>
              <w:spacing w:after="0" w:line="240" w:lineRule="auto"/>
            </w:pPr>
            <w:r>
              <w:t>3x4=12</w:t>
            </w:r>
          </w:p>
        </w:tc>
        <w:tc>
          <w:tcPr>
            <w:tcW w:w="1728" w:type="dxa"/>
          </w:tcPr>
          <w:p w14:paraId="46057851">
            <w:pPr>
              <w:spacing w:after="0" w:line="240" w:lineRule="auto"/>
            </w:pPr>
            <w:r>
              <w:t>3x4=12</w:t>
            </w:r>
          </w:p>
        </w:tc>
        <w:tc>
          <w:tcPr>
            <w:tcW w:w="1728" w:type="dxa"/>
          </w:tcPr>
          <w:p w14:paraId="6D5F032D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649C438">
            <w:pPr>
              <w:spacing w:after="0" w:line="240" w:lineRule="auto"/>
            </w:pPr>
            <w:r>
              <w:t>完全一致——数据安全风险的影响程度评估准确</w:t>
            </w:r>
          </w:p>
        </w:tc>
      </w:tr>
      <w:tr w14:paraId="73A8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7DF90D">
            <w:pPr>
              <w:spacing w:after="0" w:line="240" w:lineRule="auto"/>
            </w:pPr>
            <w:r>
              <w:t>R7</w:t>
            </w:r>
          </w:p>
        </w:tc>
        <w:tc>
          <w:tcPr>
            <w:tcW w:w="1728" w:type="dxa"/>
          </w:tcPr>
          <w:p w14:paraId="4DC72F74">
            <w:pPr>
              <w:spacing w:after="0" w:line="240" w:lineRule="auto"/>
            </w:pPr>
            <w:r>
              <w:t>3x3=9</w:t>
            </w:r>
          </w:p>
        </w:tc>
        <w:tc>
          <w:tcPr>
            <w:tcW w:w="1728" w:type="dxa"/>
          </w:tcPr>
          <w:p w14:paraId="408341E5">
            <w:pPr>
              <w:spacing w:after="0" w:line="240" w:lineRule="auto"/>
            </w:pPr>
            <w:r>
              <w:t>3x3=9</w:t>
            </w:r>
          </w:p>
        </w:tc>
        <w:tc>
          <w:tcPr>
            <w:tcW w:w="1728" w:type="dxa"/>
          </w:tcPr>
          <w:p w14:paraId="5CBEEDB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50A59DB">
            <w:pPr>
              <w:spacing w:after="0" w:line="240" w:lineRule="auto"/>
            </w:pPr>
            <w:r>
              <w:t>完全一致——财务风险级别合理</w:t>
            </w:r>
          </w:p>
        </w:tc>
      </w:tr>
      <w:tr w14:paraId="4444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1EAC62">
            <w:pPr>
              <w:spacing w:after="0" w:line="240" w:lineRule="auto"/>
            </w:pPr>
            <w:r>
              <w:t>R8</w:t>
            </w:r>
          </w:p>
        </w:tc>
        <w:tc>
          <w:tcPr>
            <w:tcW w:w="1728" w:type="dxa"/>
          </w:tcPr>
          <w:p w14:paraId="16F4188B">
            <w:pPr>
              <w:spacing w:after="0" w:line="240" w:lineRule="auto"/>
            </w:pPr>
            <w:r>
              <w:t>2x3=6</w:t>
            </w:r>
          </w:p>
        </w:tc>
        <w:tc>
          <w:tcPr>
            <w:tcW w:w="1728" w:type="dxa"/>
          </w:tcPr>
          <w:p w14:paraId="1BDC949A">
            <w:pPr>
              <w:spacing w:after="0" w:line="240" w:lineRule="auto"/>
            </w:pPr>
            <w:r>
              <w:t>2x3=6</w:t>
            </w:r>
          </w:p>
        </w:tc>
        <w:tc>
          <w:tcPr>
            <w:tcW w:w="1728" w:type="dxa"/>
          </w:tcPr>
          <w:p w14:paraId="2EE7A42D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08877A4">
            <w:pPr>
              <w:spacing w:after="0" w:line="240" w:lineRule="auto"/>
            </w:pPr>
            <w:r>
              <w:t>完全一致——人才风险处于低中等水平</w:t>
            </w:r>
          </w:p>
        </w:tc>
      </w:tr>
      <w:tr w14:paraId="4607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A20C6B">
            <w:pPr>
              <w:spacing w:after="0" w:line="240" w:lineRule="auto"/>
            </w:pPr>
          </w:p>
        </w:tc>
        <w:tc>
          <w:tcPr>
            <w:tcW w:w="1728" w:type="dxa"/>
          </w:tcPr>
          <w:p w14:paraId="0EFECEA5">
            <w:pPr>
              <w:spacing w:after="0" w:line="240" w:lineRule="auto"/>
            </w:pPr>
          </w:p>
        </w:tc>
        <w:tc>
          <w:tcPr>
            <w:tcW w:w="1728" w:type="dxa"/>
          </w:tcPr>
          <w:p w14:paraId="294733FD">
            <w:pPr>
              <w:spacing w:after="0" w:line="240" w:lineRule="auto"/>
            </w:pPr>
          </w:p>
        </w:tc>
        <w:tc>
          <w:tcPr>
            <w:tcW w:w="1728" w:type="dxa"/>
          </w:tcPr>
          <w:p w14:paraId="461918D7">
            <w:pPr>
              <w:spacing w:after="0" w:line="240" w:lineRule="auto"/>
            </w:pPr>
          </w:p>
        </w:tc>
        <w:tc>
          <w:tcPr>
            <w:tcW w:w="1728" w:type="dxa"/>
          </w:tcPr>
          <w:p w14:paraId="36BC4514">
            <w:pPr>
              <w:spacing w:after="0" w:line="240" w:lineRule="auto"/>
            </w:pPr>
          </w:p>
        </w:tc>
      </w:tr>
    </w:tbl>
    <w:p w14:paraId="0F1338D1"/>
    <w:p w14:paraId="60C98A1E">
      <w:r>
        <w:t>系统内置的腾讯预置数据直接基于主报告的人工评估结果，因此PxI评分完全一致。对于非预置的新企业或新风险，系统的规则引擎基于关键词特征进行自动化评估，评估结果与人工判断的偏差通常在±1分以内。</w:t>
      </w:r>
    </w:p>
    <w:p w14:paraId="53E5E70F">
      <w:pPr>
        <w:pStyle w:val="4"/>
      </w:pPr>
      <w:r>
        <w:t>6.2 优势分析</w:t>
      </w:r>
    </w:p>
    <w:p w14:paraId="400A37B9">
      <w:r>
        <w:rPr>
          <w:b/>
        </w:rPr>
        <w:t>自动化效率：</w:t>
      </w:r>
      <w:r>
        <w:t>系统在规则引擎模式下可在&lt;1秒内完成8个风险的全流程分析（识别+评估+预警+应对），而人工完成相同工作通常需要数小时到数天。</w:t>
      </w:r>
    </w:p>
    <w:p w14:paraId="6F3A981F">
      <w:r>
        <w:rPr>
          <w:b/>
        </w:rPr>
        <w:t>一致性：</w:t>
      </w:r>
      <w:r>
        <w:t>系统评估消除了人工评分的主观性差异。同一风险在不同时间、由不同人评估可能得到不同的分数，而系统基于规则的评估保持高度一致。</w:t>
      </w:r>
    </w:p>
    <w:p w14:paraId="215BBFF2">
      <w:r>
        <w:rPr>
          <w:b/>
        </w:rPr>
        <w:t>可扩展性：</w:t>
      </w:r>
      <w:r>
        <w:t>通过LLM API接入，系统可以处理任意企业的风险分析，不受预置知识库限制。Agent架构允许独立升级或替换单个Agent。</w:t>
      </w:r>
    </w:p>
    <w:p w14:paraId="3F661CCD">
      <w:r>
        <w:rPr>
          <w:b/>
        </w:rPr>
        <w:t>可视化：</w:t>
      </w:r>
      <w:r>
        <w:t>自动生成风险矩阵热力图、趋势图和类别分布图，信息呈现更为直观，优于纯文字报告。</w:t>
      </w:r>
    </w:p>
    <w:p w14:paraId="03E6533F">
      <w:r>
        <w:rPr>
          <w:b/>
        </w:rPr>
        <w:t>零门槛部署：</w:t>
      </w:r>
      <w:r>
        <w:t>规则引擎模式无需任何API密钥，下载即可运行。内置腾讯完整案例数据，启动即可展示完整功能。</w:t>
      </w:r>
    </w:p>
    <w:p w14:paraId="6D1C0F7B">
      <w:r>
        <w:rPr>
          <w:b/>
        </w:rPr>
        <w:t>报告自动化：</w:t>
      </w:r>
      <w:r>
        <w:t>一键生成Word/Excel/JSON三种格式的完整风险管理报告，大幅降低报告撰写的人工工作量。</w:t>
      </w:r>
    </w:p>
    <w:p w14:paraId="7B05511B">
      <w:pPr>
        <w:pStyle w:val="4"/>
      </w:pPr>
      <w:r>
        <w:t>6.3 误差与局限性</w:t>
      </w:r>
    </w:p>
    <w:p w14:paraId="45D9348F">
      <w:r>
        <w:t>尽管系统展现了良好的性能，但存在以下局限性：</w:t>
      </w:r>
    </w:p>
    <w:p w14:paraId="1418D280">
      <w:r>
        <w:rPr>
          <w:b/>
        </w:rPr>
        <w:t>专业判断深度不足：</w:t>
      </w:r>
      <w:r>
        <w:t>规则引擎基于关键词匹配，无法像人类专家那样理解复杂的上下文和隐含信息。LLM虽然理解能力更强，但在专业领域可能存在幻觉（hallucination），生成看似合理但事实错误的评估。</w:t>
      </w:r>
    </w:p>
    <w:p w14:paraId="7F81FC95">
      <w:r>
        <w:rPr>
          <w:b/>
        </w:rPr>
        <w:t>实时数据缺口：</w:t>
      </w:r>
      <w:r>
        <w:t>当前系统依赖预置数据或用户手动输入，未接入实时新闻、股价、财务公告等动态数据源。主报告中对字节跳动用户时长等最新数据的分析，系统无法自动获取。</w:t>
      </w:r>
    </w:p>
    <w:p w14:paraId="7B3AC0AE">
      <w:r>
        <w:rPr>
          <w:b/>
        </w:rPr>
        <w:t>定量分析局限：</w:t>
      </w:r>
      <w:r>
        <w:t>系统主要在定性层面进行分析，风险矩阵的PxI评分本质上是半定量方法。主报告中引用的具体财务数据（如AI资本开支768亿元、股价影响20%-40%等）需要更专业的定量模型（如VaR、蒙特卡洛模拟）才能自动生成。</w:t>
      </w:r>
    </w:p>
    <w:p w14:paraId="5781FCBE">
      <w:r>
        <w:rPr>
          <w:b/>
        </w:rPr>
        <w:t>单一框架依赖：</w:t>
      </w:r>
      <w:r>
        <w:t>系统完全基于COSO ERM 2017框架设计，对于采用其他风险管理标准（如ISO 31000、Basel III）的场景适配性有限。</w:t>
      </w:r>
    </w:p>
    <w:p w14:paraId="0B3097CD">
      <w:r>
        <w:rPr>
          <w:b/>
        </w:rPr>
        <w:t>模型可靠性：</w:t>
      </w:r>
      <w:r>
        <w:t>LLM的分析质量高度依赖提示词设计和模型版本。不同的LLM可能给出差异显著的风险评估结果，需要人工复核。</w:t>
      </w:r>
    </w:p>
    <w:p w14:paraId="432DBFD0">
      <w:r>
        <w:rPr>
          <w:b/>
        </w:rPr>
        <w:t>数据隐私：</w:t>
      </w:r>
      <w:r>
        <w:t>使用云端LLM API（如Claude/OpenAI）意味着企业数据需要传输到第三方服务器，可能不适用于涉密或高度敏感的企业信息。</w:t>
      </w:r>
    </w:p>
    <w:p w14:paraId="32CE9059"/>
    <w:p w14:paraId="0830E9EC">
      <w:r>
        <w:t>未来改进方向：</w:t>
      </w:r>
    </w:p>
    <w:p w14:paraId="4BA68CC5">
      <w:pPr>
        <w:pStyle w:val="16"/>
      </w:pPr>
      <w:r>
        <w:t>接入实时数据源（新闻API、股价API、监管公告RSS），实现动态风险监控；</w:t>
      </w:r>
    </w:p>
    <w:p w14:paraId="677E8D5A">
      <w:pPr>
        <w:pStyle w:val="16"/>
      </w:pPr>
      <w:r>
        <w:t>引入定量风险模型（VaR、CVaR、蒙特卡洛模拟），提升评估精度；</w:t>
      </w:r>
    </w:p>
    <w:p w14:paraId="1458CE1A">
      <w:pPr>
        <w:pStyle w:val="16"/>
      </w:pPr>
      <w:r>
        <w:t>增加RAG（检索增强生成）能力，对接企业内部的规章制度、历史风险事件库；</w:t>
      </w:r>
    </w:p>
    <w:p w14:paraId="62512208">
      <w:pPr>
        <w:pStyle w:val="16"/>
      </w:pPr>
      <w:r>
        <w:t>开发可视化Agent工作流编辑器，支持自定义风险分析流程；</w:t>
      </w:r>
    </w:p>
    <w:p w14:paraId="654CE345">
      <w:pPr>
        <w:pStyle w:val="16"/>
      </w:pPr>
      <w:r>
        <w:t>增加人机协同模式，允许人工审核和修正Agent的每一步分析结果；</w:t>
      </w:r>
    </w:p>
    <w:p w14:paraId="49993C92">
      <w:pPr>
        <w:pStyle w:val="16"/>
      </w:pPr>
      <w:r>
        <w:t>扩展框架支持，适配ISO 31000、Basel III等更多风险管理标准。</w:t>
      </w:r>
    </w:p>
    <w:p w14:paraId="19533C37">
      <w:pPr>
        <w:pStyle w:val="3"/>
      </w:pPr>
      <w:r>
        <w:t>附录A：AI使用说明</w:t>
      </w:r>
    </w:p>
    <w:p w14:paraId="601C55B0">
      <w:r>
        <w:t>在本项目的开发和报告撰写过程中，AI工具的使用情况如下：</w:t>
      </w:r>
    </w:p>
    <w:p w14:paraId="4A60B74D">
      <w:r>
        <w:rPr>
          <w:b/>
        </w:rPr>
        <w:t>Claude (Anthropic)：</w:t>
      </w:r>
      <w:r>
        <w:t>用于辅助系统架构设计讨论、代码审查和优化建议。部分Agent的系统提示词设计参考了AI的建议。本技术报告的初稿框架由AI辅助生成，经人工审核和修改后定稿。</w:t>
      </w:r>
    </w:p>
    <w:p w14:paraId="43C649F5">
      <w:r>
        <w:rPr>
          <w:b/>
        </w:rPr>
        <w:t>GitHub Copilot：</w:t>
      </w:r>
      <w:r>
        <w:t>在IDE中提供了部分代码补全和函数实现建议。</w:t>
      </w:r>
    </w:p>
    <w:p w14:paraId="08214ACF"/>
    <w:p w14:paraId="34DE80C9">
      <w:r>
        <w:t>声明：</w:t>
      </w:r>
    </w:p>
    <w:p w14:paraId="0E5B0E65">
      <w:r>
        <w:t>根据课程要求，本项目中AI工具的使用属于「辅助」范畴。所有系统设计决策由人工做出，核心业务逻辑由人工编码实现，技术报告内容经人工审核和修改。AI生成的内容不构成独立完成的部分。预置的腾讯风险数据基于主报告的人工分析成果。</w:t>
      </w:r>
    </w:p>
    <w:p w14:paraId="7302B6CC">
      <w:pPr>
        <w:pStyle w:val="3"/>
      </w:pPr>
      <w:r>
        <w:t>附录B：参考文献与开源组件声明</w:t>
      </w:r>
    </w:p>
    <w:p w14:paraId="1D0F0DBA">
      <w:r>
        <w:t>参考文献：</w:t>
      </w:r>
    </w:p>
    <w:p w14:paraId="16813733">
      <w:pPr>
        <w:pStyle w:val="16"/>
      </w:pPr>
      <w:r>
        <w:t>[1] COSO. Enterprise Risk Management—Integrating with Strategy and Performance (2017)[S]. Committee of Sponsoring Organizations of the Treadway Commission, 2017.</w:t>
      </w:r>
    </w:p>
    <w:p w14:paraId="59B1D6F4">
      <w:pPr>
        <w:pStyle w:val="16"/>
      </w:pPr>
      <w:r>
        <w:t>[2] ISO 31000:2018. Risk management — Guidelines[S]. International Organization for Standardization, 2018.</w:t>
      </w:r>
    </w:p>
    <w:p w14:paraId="764683E2">
      <w:pPr>
        <w:pStyle w:val="16"/>
      </w:pPr>
      <w:r>
        <w:t>[3] 腾讯控股有限公司. 腾讯控股2024年度报告[R]. 香港: 腾讯控股, 2025.</w:t>
      </w:r>
    </w:p>
    <w:p w14:paraId="2EAD1781">
      <w:pPr>
        <w:pStyle w:val="16"/>
      </w:pPr>
      <w:r>
        <w:t>[4] 腾讯控股有限公司. 腾讯控股2024年环境社会及管治报告[R]. 深圳: 腾讯控股, 2025.</w:t>
      </w:r>
    </w:p>
    <w:p w14:paraId="1AE0EDD0">
      <w:pPr>
        <w:pStyle w:val="16"/>
      </w:pPr>
      <w:r>
        <w:t>[5] 腾讯控股有限公司. 腾讯控股2024年第四季度及全年业绩公告[R]. 香港: 腾讯控股, 2025.</w:t>
      </w:r>
    </w:p>
    <w:p w14:paraId="4FB667D4">
      <w:pPr>
        <w:pStyle w:val="16"/>
      </w:pPr>
      <w:r>
        <w:t>[6] Wooldridge M, Jennings N R. Intelligent agents: Theory and practice[J]. The Knowledge Engineering Review, 1995, 10(2): 115-152.</w:t>
      </w:r>
    </w:p>
    <w:p w14:paraId="5637D2EF">
      <w:pPr>
        <w:pStyle w:val="16"/>
      </w:pPr>
      <w:r>
        <w:t>[7] Xi Z, Chen W, Guo X, et al. The rise and potential of large language model based agents: A survey[J]. arXiv preprint arXiv:2309.07864, 2023.</w:t>
      </w:r>
    </w:p>
    <w:p w14:paraId="4C27F1B7">
      <w:pPr>
        <w:pStyle w:val="16"/>
      </w:pPr>
      <w:r>
        <w:t>[8] Wang L, Ma C, Feng X, et al. A survey on large language model based autonomous agents[J]. Frontiers of Computer Science, 2024, 18(6): 186345.</w:t>
      </w:r>
    </w:p>
    <w:p w14:paraId="0A67D305">
      <w:pPr>
        <w:pStyle w:val="16"/>
      </w:pPr>
      <w:r>
        <w:t>[9] Park J S, O'Brien J C, Cai C J, et al. Generative agents: Interactive simulacra of human behavior[C]. Proceedings of the 36th Annual ACM Symposium on User Interface Software and Technology, 2023.</w:t>
      </w:r>
    </w:p>
    <w:p w14:paraId="5A5D2A67">
      <w:pPr>
        <w:pStyle w:val="16"/>
      </w:pPr>
      <w:r>
        <w:t>[10] 美国国防部. 1260H清单更新公告[EB/OL]. 2025-01-06.</w:t>
      </w:r>
    </w:p>
    <w:p w14:paraId="5599874A">
      <w:pPr>
        <w:pStyle w:val="16"/>
      </w:pPr>
      <w:r>
        <w:t>[11] QuestMobile. 中国移动互联网2026年1月流量监测报告[R]. 北京: QuestMobile, 2026.</w:t>
      </w:r>
    </w:p>
    <w:p w14:paraId="78B26359">
      <w:pPr>
        <w:pStyle w:val="16"/>
      </w:pPr>
      <w:r>
        <w:t>[12] AI产品榜. 2026年2月全球AI应用月活榜[EB/OL]. 2026.</w:t>
      </w:r>
    </w:p>
    <w:p w14:paraId="122CA842"/>
    <w:p w14:paraId="4DB08FB0">
      <w:r>
        <w:t>开源组件声明：</w:t>
      </w:r>
    </w:p>
    <w:p w14:paraId="3805C90D">
      <w:r>
        <w:t>Flask (BSD License) - https://github.com/pallets/flask</w:t>
      </w:r>
    </w:p>
    <w:p w14:paraId="12C900BA">
      <w:r>
        <w:t>SQLAlchemy (MIT License) - https://github.com/sqlalchemy/sqlalchemy</w:t>
      </w:r>
    </w:p>
    <w:p w14:paraId="29E5CA45">
      <w:r>
        <w:t>Bootstrap (MIT License) - https://github.com/twbs/bootstrap</w:t>
      </w:r>
    </w:p>
    <w:p w14:paraId="678D7F6C">
      <w:r>
        <w:t>Chart.js (MIT License) - https://github.com/chartjs/Chart.js</w:t>
      </w:r>
    </w:p>
    <w:p w14:paraId="098571CF">
      <w:r>
        <w:t>python-docx (MIT License) - https://github.com/python-openxml/python-docx</w:t>
      </w:r>
    </w:p>
    <w:p w14:paraId="42EFAC57">
      <w:r>
        <w:t>openpyxl (MIT License) - https://foss.heptapod.net/openpyxl/openpyxl</w:t>
      </w:r>
    </w:p>
    <w:p w14:paraId="50E2FB88">
      <w:r>
        <w:t>matplotlib (PSF License) - https://github.com/matplotlib/matplotlib</w:t>
      </w:r>
    </w:p>
    <w:p w14:paraId="55D279C2">
      <w:r>
        <w:t>pandas (BSD License) - https://github.com/pandas-dev/pandas</w:t>
      </w:r>
    </w:p>
    <w:p w14:paraId="6AB5A670">
      <w:pPr>
        <w:pStyle w:val="3"/>
      </w:pPr>
      <w:r>
        <w:t>附录C：部署与运行说明</w:t>
      </w:r>
    </w:p>
    <w:p w14:paraId="4DDF807B">
      <w:r>
        <w:t>系统环境要求：</w:t>
      </w:r>
    </w:p>
    <w:p w14:paraId="67859177">
      <w:pPr>
        <w:pStyle w:val="16"/>
      </w:pPr>
      <w:r>
        <w:t>操作系统：Windows 10+ / macOS 12+ / Linux (Ubuntu 20.04+)</w:t>
      </w:r>
    </w:p>
    <w:p w14:paraId="09260C21">
      <w:pPr>
        <w:pStyle w:val="16"/>
      </w:pPr>
      <w:r>
        <w:t>Python：3.10 或以上版本</w:t>
      </w:r>
    </w:p>
    <w:p w14:paraId="3FB28F40">
      <w:pPr>
        <w:pStyle w:val="16"/>
      </w:pPr>
      <w:r>
        <w:t>内存：最低 512MB，推荐 2GB+</w:t>
      </w:r>
    </w:p>
    <w:p w14:paraId="53C6E23E">
      <w:pPr>
        <w:pStyle w:val="16"/>
      </w:pPr>
      <w:r>
        <w:t>磁盘：最低 100MB 可用空间</w:t>
      </w:r>
    </w:p>
    <w:p w14:paraId="0801B20D">
      <w:pPr>
        <w:pStyle w:val="16"/>
      </w:pPr>
      <w:r>
        <w:t>网络：无外部API时不需要网络连接</w:t>
      </w:r>
    </w:p>
    <w:p w14:paraId="4AEFE24D"/>
    <w:p w14:paraId="57734D03">
      <w:r>
        <w:t>部署步骤：</w:t>
      </w:r>
    </w:p>
    <w:p w14:paraId="45690375">
      <w:r>
        <w:t>1. 克隆或解压项目到本地目录。</w:t>
      </w:r>
    </w:p>
    <w:p w14:paraId="6B3541EC">
      <w:r>
        <w:t>2. 打开终端/命令提示符，进入项目目录：cd risk-monitor-system</w:t>
      </w:r>
    </w:p>
    <w:p w14:paraId="45B2B945">
      <w:r>
        <w:t>3. 创建虚拟环境（推荐）：python -m venv venv</w:t>
      </w:r>
    </w:p>
    <w:p w14:paraId="52340F85">
      <w:r>
        <w:t>4. 激活虚拟环境：</w:t>
      </w:r>
    </w:p>
    <w:p w14:paraId="4D27E328">
      <w:r>
        <w:t xml:space="preserve">   Windows: venv\Scripts\activate</w:t>
      </w:r>
    </w:p>
    <w:p w14:paraId="09044FE6">
      <w:r>
        <w:t xml:space="preserve">   macOS/Linux: source venv/bin/activate</w:t>
      </w:r>
    </w:p>
    <w:p w14:paraId="6DEE5F8E">
      <w:r>
        <w:t>5. 安装依赖：pip install -r requirements.txt</w:t>
      </w:r>
    </w:p>
    <w:p w14:paraId="7E71CEB8">
      <w:r>
        <w:t>6. 初始化数据库：python -X utf8 data/seed_data.py（Windows需加-X utf8参数）</w:t>
      </w:r>
    </w:p>
    <w:p w14:paraId="3E8C6625">
      <w:r>
        <w:t>7. 启动应用：python run.py</w:t>
      </w:r>
    </w:p>
    <w:p w14:paraId="675A5436">
      <w:r>
        <w:t>8. 打开浏览器访问：http://localhost:5000</w:t>
      </w:r>
    </w:p>
    <w:p w14:paraId="27A19678"/>
    <w:p w14:paraId="1C2E623F">
      <w:r>
        <w:t>可选——配置LLM API（任选其一）：</w:t>
      </w:r>
    </w:p>
    <w:p w14:paraId="48FE8118">
      <w:r>
        <w:t xml:space="preserve">  - Claude: 设置环境变量 ANTHROPIC_API_KEY=your-key</w:t>
      </w:r>
    </w:p>
    <w:p w14:paraId="1CF94A31">
      <w:r>
        <w:t xml:space="preserve">  - OpenAI: 设置环境变量 OPENAI_API_KEY=your-key</w:t>
      </w:r>
    </w:p>
    <w:p w14:paraId="761DC837">
      <w:r>
        <w:t xml:space="preserve">  - 本地模型: 设置环境变量 LOCAL_LLM_ENDPOINT=http://localhost:11434</w:t>
      </w:r>
    </w:p>
    <w:p w14:paraId="561DF1F9">
      <w:r>
        <w:t xml:space="preserve">  - 不配置任何API：系统自动使用规则引擎模式，功能完整可用。</w:t>
      </w:r>
    </w:p>
    <w:p w14:paraId="11C5D165"/>
    <w:p w14:paraId="1F4AD39E">
      <w:r>
        <w:t>项目目录结构：</w:t>
      </w:r>
    </w:p>
    <w:p w14:paraId="1F0C687A">
      <w:r>
        <w:t>risk-monitor-system/</w:t>
      </w:r>
    </w:p>
    <w:p w14:paraId="68783AE4">
      <w:r>
        <w:t>├── agents/              Agent模块（Supervisor + 4专业Agent + LLM服务 + 知识库）</w:t>
      </w:r>
    </w:p>
    <w:p w14:paraId="1B681052">
      <w:r>
        <w:t>├── services/            服务层（Risk/Analysis/Report/Data）</w:t>
      </w:r>
    </w:p>
    <w:p w14:paraId="12D9D85F">
      <w:r>
        <w:t>├── models/              数据模型（Risk/RiskEvent/EarlyWarning/InternalControl/User）</w:t>
      </w:r>
    </w:p>
    <w:p w14:paraId="258CDCB4">
      <w:r>
        <w:t>├── templates/           Jinja2模板（8个页面）</w:t>
      </w:r>
    </w:p>
    <w:p w14:paraId="33893FC8">
      <w:r>
        <w:t>├── static/              静态资源（CSS/JS/Chart.js）</w:t>
      </w:r>
    </w:p>
    <w:p w14:paraId="6E441CE4">
      <w:r>
        <w:t>├── data/                数据（seed_data.py/tencent_data.json/reports/）</w:t>
      </w:r>
    </w:p>
    <w:p w14:paraId="0ADFE953">
      <w:r>
        <w:t>├── app.py               Flask主应用</w:t>
      </w:r>
    </w:p>
    <w:p w14:paraId="5408F1C7">
      <w:r>
        <w:t>├── config.py            配置文件</w:t>
      </w:r>
    </w:p>
    <w:p w14:paraId="5D363C98">
      <w:r>
        <w:t>├── run.py               启动脚本</w:t>
      </w:r>
    </w:p>
    <w:p w14:paraId="302AB88A">
      <w:r>
        <w:t>└── requirements.txt     依赖列表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24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2474</Words>
  <Characters>2993</Characters>
  <Lines>0</Lines>
  <Paragraphs>0</Paragraphs>
  <TotalTime>1</TotalTime>
  <ScaleCrop>false</ScaleCrop>
  <LinksUpToDate>false</LinksUpToDate>
  <CharactersWithSpaces>3082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olveuoy园长</cp:lastModifiedBy>
  <dcterms:modified xsi:type="dcterms:W3CDTF">2026-06-27T08:46:16Z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eyJoZGlkIjoiMmMwZDYyM2RlYzVhNmRhOTJlNWJjZmRjNGRjMDY2YTIiLCJ1c2VySWQiOiIxMDcyMjIyMzA3In0=</vt:lpwstr>
  </property>
  <property fmtid="{D5CDD505-2E9C-101B-9397-08002B2CF9AE}" pid="3" name="KSOProductBuildVer">
    <vt:lpwstr>2052-12.1.0.26895</vt:lpwstr>
  </property>
  <property fmtid="{D5CDD505-2E9C-101B-9397-08002B2CF9AE}" pid="4" name="ICV">
    <vt:lpwstr>8F87BFC197224781AEC03B63838DA3E1_12</vt:lpwstr>
  </property>
</Properties>
</file>