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9FD9"/>
          <w:sz w:val="16"/>
        </w:rPr>
        <w:t>NR-01 · GERENCIAMENTO DE RISCOS OCUPACIONAIS</w:t>
      </w:r>
    </w:p>
    <w:p>
      <w:pPr>
        <w:spacing w:after="200"/>
      </w:pPr>
      <w:r>
        <w:rPr>
          <w:b/>
          <w:color w:val="0E2841"/>
          <w:sz w:val="40"/>
        </w:rPr>
        <w:t>Questionário de riscos psicossociais: fontes oficiais e questionários validados no Brasil</w:t>
      </w:r>
    </w:p>
    <w:p>
      <w:pPr>
        <w:pStyle w:val="Heading1"/>
      </w:pPr>
      <w:r>
        <w:t>Para que serve este material</w:t>
      </w:r>
    </w:p>
    <w:p>
      <w:r>
        <w:rPr>
          <w:i w:val="0"/>
        </w:rPr>
        <w:t>A NR-01 passou a exigir que os fatores de risco psicossociais relacionados ao trabalho façam parte do Gerenciamento de Riscos Ocupacionais (GRO) e do inventário de riscos do PGR. A norma não impõe um questionário específico: a empresa escolhe a metodologia, desde que identifique os fatores, avalie o risco e registre as medidas de prevenção.</w:t>
      </w:r>
    </w:p>
    <w:p>
      <w:r>
        <w:rPr>
          <w:i w:val="0"/>
        </w:rPr>
        <w:t>Este documento reúne as fontes oficiais do MTE e os questionários validados no Brasil que fundamentam o questionário da Peixoto &amp; Cury, que está em arquivo separado.</w:t>
      </w:r>
    </w:p>
    <w:p>
      <w:r>
        <w:rPr>
          <w:b/>
          <w:color w:val="0E2841"/>
        </w:rPr>
        <w:t xml:space="preserve">Observação: </w:t>
      </w:r>
      <w:r>
        <w:rPr>
          <w:i w:val="0"/>
          <w:color w:val="6A7D90"/>
          <w:sz w:val="17"/>
        </w:rPr>
        <w:t>Base normativa: Portaria MTE nº 1.419/2024, que incluiu os fatores psicossociais no GRO (subitem 1.5.3.1.4 da NR-1), com vigência a partir de 26/05/2026 (Portaria MTE nº 765/2025). Interpretação oficial: Manual do GRO (MTE, 2026) e Perguntas e respostas (MTE, 30/04/2026). Conferir atualizações antes de citar em documento externo.</w:t>
      </w:r>
    </w:p>
    <w:p>
      <w:pPr>
        <w:pStyle w:val="Heading1"/>
      </w:pPr>
      <w:r>
        <w:t>Fontes oficiais do MTE</w:t>
      </w:r>
    </w:p>
    <w:p>
      <w:r>
        <w:rPr>
          <w:i w:val="0"/>
        </w:rPr>
        <w:t>A base principal do questionário da Peixoto &amp; Cury são as publicações oficiais do Ministério do Trabalho e Emprego. Os questionários validados descritos depois servem de reforço científico.</w:t>
      </w:r>
    </w:p>
    <w:p>
      <w:pPr>
        <w:pStyle w:val="Heading2"/>
      </w:pPr>
      <w:r>
        <w:t>Guia de informações sobre os fatores de riscos psicossociais relacionados ao trabalho (MTE, 2025)</w:t>
      </w:r>
    </w:p>
    <w:p>
      <w:r>
        <w:rPr>
          <w:i w:val="0"/>
        </w:rPr>
        <w:t>Orienta como incluir os fatores psicossociais no GRO. A identificação e a avaliação são feitas na Avaliação Ergonômica Preliminar (AEP) da NR-17, com foco nas condições de trabalho, e não em sintomas. A listagem exemplificativa de fatores do guia, usada como estrutura do questionário P&amp;C, é:</w:t>
      </w:r>
    </w:p>
    <w:p>
      <w:pPr>
        <w:pStyle w:val="ListBullet"/>
      </w:pPr>
      <w:r>
        <w:t>Excesso de demandas no trabalho (sobrecarga)</w:t>
      </w:r>
    </w:p>
    <w:p>
      <w:pPr>
        <w:pStyle w:val="ListBullet"/>
      </w:pPr>
      <w:r>
        <w:t>Baixa demanda no trabalho (subcarga)</w:t>
      </w:r>
    </w:p>
    <w:p>
      <w:pPr>
        <w:pStyle w:val="ListBullet"/>
      </w:pPr>
      <w:r>
        <w:t>Baixo controle no trabalho / falta de autonomia</w:t>
      </w:r>
    </w:p>
    <w:p>
      <w:pPr>
        <w:pStyle w:val="ListBullet"/>
      </w:pPr>
      <w:r>
        <w:t>Falta de suporte / apoio no trabalho</w:t>
      </w:r>
    </w:p>
    <w:p>
      <w:pPr>
        <w:pStyle w:val="ListBullet"/>
      </w:pPr>
      <w:r>
        <w:t>Más relações no local de trabalho</w:t>
      </w:r>
    </w:p>
    <w:p>
      <w:pPr>
        <w:pStyle w:val="ListBullet"/>
      </w:pPr>
      <w:r>
        <w:t>Baixa clareza de papel / função</w:t>
      </w:r>
    </w:p>
    <w:p>
      <w:pPr>
        <w:pStyle w:val="ListBullet"/>
      </w:pPr>
      <w:r>
        <w:t>Baixas recompensas e reconhecimento</w:t>
      </w:r>
    </w:p>
    <w:p>
      <w:pPr>
        <w:pStyle w:val="ListBullet"/>
      </w:pPr>
      <w:r>
        <w:t>Baixa justiça organizacional</w:t>
      </w:r>
    </w:p>
    <w:p>
      <w:pPr>
        <w:pStyle w:val="ListBullet"/>
      </w:pPr>
      <w:r>
        <w:t>Má gestão de mudanças organizacionais</w:t>
      </w:r>
    </w:p>
    <w:p>
      <w:pPr>
        <w:pStyle w:val="ListBullet"/>
      </w:pPr>
      <w:r>
        <w:t>Assédio de qualquer natureza no trabalho</w:t>
      </w:r>
    </w:p>
    <w:p>
      <w:pPr>
        <w:pStyle w:val="ListBullet"/>
      </w:pPr>
      <w:r>
        <w:t>Eventos violentos ou traumáticos</w:t>
      </w:r>
    </w:p>
    <w:p>
      <w:pPr>
        <w:pStyle w:val="ListBullet"/>
      </w:pPr>
      <w:r>
        <w:t>Trabalho em condições de difícil comunicação</w:t>
      </w:r>
    </w:p>
    <w:p>
      <w:pPr>
        <w:pStyle w:val="ListBullet"/>
      </w:pPr>
      <w:r>
        <w:t>Trabalho remoto e isolado</w:t>
      </w:r>
    </w:p>
    <w:p>
      <w:pPr>
        <w:pStyle w:val="Heading2"/>
      </w:pPr>
      <w:r>
        <w:t>Manual de interpretação e aplicação do capítulo 1.5 da NR-1 (MTE, 16/03/2026)</w:t>
      </w:r>
    </w:p>
    <w:p>
      <w:r>
        <w:rPr>
          <w:i w:val="0"/>
        </w:rPr>
        <w:t>Publicação mais recente do MTE sobre o GRO. O capítulo 17 trata dos fatores psicossociais e deixa claro que:</w:t>
      </w:r>
    </w:p>
    <w:p>
      <w:pPr>
        <w:pStyle w:val="ListBullet"/>
      </w:pPr>
      <w:r>
        <w:t>o questionário não é obrigatório e o MTE não indica nenhuma metodologia específica (item 17.1.1);</w:t>
      </w:r>
    </w:p>
    <w:p>
      <w:pPr>
        <w:pStyle w:val="ListBullet"/>
      </w:pPr>
      <w:r>
        <w:t>se a empresa usar uma ferramenta, ela deve ser adequada ao risco e às condições da empresa (subitem 1.5.4.4.2.1 da NR-1);</w:t>
      </w:r>
    </w:p>
    <w:p>
      <w:pPr>
        <w:pStyle w:val="ListBullet"/>
      </w:pPr>
      <w:r>
        <w:t>a ferramenta precisa de validação científica e respaldo de instituição de SST, nacional ou internacional;</w:t>
      </w:r>
    </w:p>
    <w:p>
      <w:pPr>
        <w:pStyle w:val="ListBullet"/>
      </w:pPr>
      <w:r>
        <w:t>o anonimato e um ambiente de confiança são indispensáveis;</w:t>
      </w:r>
    </w:p>
    <w:p>
      <w:pPr>
        <w:pStyle w:val="ListBullet"/>
      </w:pPr>
      <w:r>
        <w:t>os trabalhadores participam de todas as etapas (item 17.3.8 da NR-17);</w:t>
      </w:r>
    </w:p>
    <w:p>
      <w:pPr>
        <w:pStyle w:val="ListBullet"/>
      </w:pPr>
      <w:r>
        <w:t>quem aplica precisa de qualificação para aplicar, analisar e interpretar os resultados.</w:t>
      </w:r>
    </w:p>
    <w:p>
      <w:pPr>
        <w:pStyle w:val="Heading2"/>
      </w:pPr>
      <w:r>
        <w:t>Guia de prevenção ao assédio moral e sexual (MTE, 2023)</w:t>
      </w:r>
    </w:p>
    <w:p>
      <w:r>
        <w:rPr>
          <w:i w:val="0"/>
        </w:rPr>
        <w:t>Publicação do MTE com orientações para prevenir e enfrentar o assédio no trabalho. Fundamenta, com a Lei nº 14.457/2022, os itens de assédio, canal de denúncia e apoio à vítima.</w:t>
      </w:r>
    </w:p>
    <w:p>
      <w:pPr>
        <w:pStyle w:val="Heading2"/>
      </w:pPr>
      <w:r>
        <w:t>Perguntas e respostas sobre o capítulo 1.5 da NR-1 (MTE, 1ª rodada, 30/04/2026)</w:t>
      </w:r>
    </w:p>
    <w:p>
      <w:r>
        <w:rPr>
          <w:i w:val="0"/>
        </w:rPr>
        <w:t>Documento orientativo do MTE, atualizado periodicamente, que responde às principais dúvidas sobre o GRO e os fatores psicossociais. Conferir se há rodada nova antes de cada ciclo.</w:t>
      </w:r>
    </w:p>
    <w:p>
      <w:r>
        <w:rPr>
          <w:b/>
          <w:color w:val="0E2841"/>
        </w:rPr>
        <w:t xml:space="preserve">Onde obter: </w:t>
      </w:r>
      <w:r>
        <w:rPr>
          <w:i w:val="0"/>
          <w:color w:val="6A7D90"/>
          <w:sz w:val="17"/>
        </w:rPr>
        <w:t>página da NR-1 no portal do Ministério do Trabalho e Emprego (gov.br/trabalho-e-emprego).</w:t>
      </w:r>
    </w:p>
    <w:p>
      <w:pPr>
        <w:pStyle w:val="Heading1"/>
      </w:pPr>
      <w:r>
        <w:t>Comparativo dos questionários validados no Brasil</w:t>
      </w:r>
    </w:p>
    <w:p>
      <w:r>
        <w:rPr>
          <w:i w:val="0"/>
        </w:rPr>
        <w:t>O COPSOQ II-Br é a base científica principal; os demais reforçam fatores específicos. Nos fatores que nenhum deles cobre, os itens P&amp;C se apoiam no guia do MTE e na legislação trabalhista.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E2EC"/>
          <w:left w:val="single" w:sz="4" w:color="D8E2EC"/>
          <w:bottom w:val="single" w:sz="4" w:color="D8E2EC"/>
          <w:right w:val="single" w:sz="4" w:color="D8E2EC"/>
          <w:insideH w:val="single" w:sz="4" w:color="D8E2EC"/>
          <w:insideV w:val="single" w:sz="4" w:color="D8E2EC"/>
        </w:tblBorders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474"/>
            <w:shd w:val="clear" w:color="auto" w:fill="0E2841"/>
          </w:tcPr>
          <w:p>
            <w:r/>
            <w:r>
              <w:rPr>
                <w:b/>
                <w:color w:val="FFFFFF"/>
                <w:sz w:val="17"/>
              </w:rPr>
              <w:t>Modelo</w:t>
            </w:r>
          </w:p>
        </w:tc>
        <w:tc>
          <w:tcPr>
            <w:tcW w:type="dxa" w:w="1928"/>
            <w:shd w:val="clear" w:color="auto" w:fill="0E2841"/>
          </w:tcPr>
          <w:p>
            <w:r/>
            <w:r>
              <w:rPr>
                <w:b/>
                <w:color w:val="FFFFFF"/>
                <w:sz w:val="17"/>
              </w:rPr>
              <w:t>Origem e validação</w:t>
            </w:r>
          </w:p>
        </w:tc>
        <w:tc>
          <w:tcPr>
            <w:tcW w:type="dxa" w:w="1474"/>
            <w:shd w:val="clear" w:color="auto" w:fill="0E2841"/>
          </w:tcPr>
          <w:p>
            <w:r/>
            <w:r>
              <w:rPr>
                <w:b/>
                <w:color w:val="FFFFFF"/>
                <w:sz w:val="17"/>
              </w:rPr>
              <w:t>Nº de perguntas</w:t>
            </w:r>
          </w:p>
        </w:tc>
        <w:tc>
          <w:tcPr>
            <w:tcW w:type="dxa" w:w="1757"/>
            <w:shd w:val="clear" w:color="auto" w:fill="0E2841"/>
          </w:tcPr>
          <w:p>
            <w:r/>
            <w:r>
              <w:rPr>
                <w:b/>
                <w:color w:val="FFFFFF"/>
                <w:sz w:val="17"/>
              </w:rPr>
              <w:t>Escala</w:t>
            </w:r>
          </w:p>
        </w:tc>
        <w:tc>
          <w:tcPr>
            <w:tcW w:type="dxa" w:w="2778"/>
            <w:shd w:val="clear" w:color="auto" w:fill="0E2841"/>
          </w:tcPr>
          <w:p>
            <w:r/>
            <w:r>
              <w:rPr>
                <w:b/>
                <w:color w:val="FFFFFF"/>
                <w:sz w:val="17"/>
              </w:rPr>
              <w:t>Melhor uso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0E2841"/>
                <w:sz w:val="17"/>
              </w:rPr>
              <w:t>COPSOQ II-Br (principal)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Versão curta brasileira; validada na UFSCar (2021); aplicação na NR-1 pela Fundacentro (2026)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40, em 23 dimensões</w:t>
            </w:r>
          </w:p>
        </w:tc>
        <w:tc>
          <w:tcPr>
            <w:tcW w:type="dxa" w:w="1757"/>
          </w:tcPr>
          <w:p>
            <w:r/>
            <w:r>
              <w:rPr>
                <w:sz w:val="17"/>
              </w:rPr>
              <w:t>Likert de 5 pontos</w:t>
            </w:r>
          </w:p>
        </w:tc>
        <w:tc>
          <w:tcPr>
            <w:tcW w:type="dxa" w:w="2778"/>
          </w:tcPr>
          <w:p>
            <w:r/>
            <w:r>
              <w:rPr>
                <w:sz w:val="17"/>
              </w:rPr>
              <w:t>Base principal do questionário P&amp;C; semáforo seguro, atenção e risco</w:t>
            </w:r>
          </w:p>
        </w:tc>
      </w:tr>
      <w:tr>
        <w:tc>
          <w:tcPr>
            <w:tcW w:type="dxa" w:w="1474"/>
            <w:shd w:val="clear" w:color="auto" w:fill="F2F8FC"/>
          </w:tcPr>
          <w:p>
            <w:r/>
            <w:r>
              <w:rPr>
                <w:b/>
                <w:color w:val="0E2841"/>
                <w:sz w:val="17"/>
              </w:rPr>
              <w:t>PROART</w:t>
            </w:r>
          </w:p>
        </w:tc>
        <w:tc>
          <w:tcPr>
            <w:tcW w:type="dxa" w:w="1928"/>
            <w:shd w:val="clear" w:color="auto" w:fill="F2F8FC"/>
          </w:tcPr>
          <w:p>
            <w:r/>
            <w:r>
              <w:rPr>
                <w:sz w:val="17"/>
              </w:rPr>
              <w:t>UnB (Brasil); instrumento brasileiro</w:t>
            </w:r>
          </w:p>
        </w:tc>
        <w:tc>
          <w:tcPr>
            <w:tcW w:type="dxa" w:w="1474"/>
            <w:shd w:val="clear" w:color="auto" w:fill="F2F8FC"/>
          </w:tcPr>
          <w:p>
            <w:r/>
            <w:r>
              <w:rPr>
                <w:sz w:val="17"/>
              </w:rPr>
              <w:t>~90, em 4 escalas</w:t>
            </w:r>
          </w:p>
        </w:tc>
        <w:tc>
          <w:tcPr>
            <w:tcW w:type="dxa" w:w="1757"/>
            <w:shd w:val="clear" w:color="auto" w:fill="F2F8FC"/>
          </w:tcPr>
          <w:p>
            <w:r/>
            <w:r>
              <w:rPr>
                <w:sz w:val="17"/>
              </w:rPr>
              <w:t>Likert de 5 pontos</w:t>
            </w:r>
          </w:p>
        </w:tc>
        <w:tc>
          <w:tcPr>
            <w:tcW w:type="dxa" w:w="2778"/>
            <w:shd w:val="clear" w:color="auto" w:fill="F2F8FC"/>
          </w:tcPr>
          <w:p>
            <w:r/>
            <w:r>
              <w:rPr>
                <w:sz w:val="17"/>
              </w:rPr>
              <w:t>Organização do trabalho, gestão e danos à saúde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0E2841"/>
                <w:sz w:val="17"/>
              </w:rPr>
              <w:t>Job Stress Scale (DCSQ)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Modelo de Karasek; validada no Brasil em 2004 (Revista de Saúde Pública, USP)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17</w:t>
            </w:r>
          </w:p>
        </w:tc>
        <w:tc>
          <w:tcPr>
            <w:tcW w:type="dxa" w:w="1757"/>
          </w:tcPr>
          <w:p>
            <w:r/>
            <w:r>
              <w:rPr>
                <w:sz w:val="17"/>
              </w:rPr>
              <w:t>Likert de 4 pontos</w:t>
            </w:r>
          </w:p>
        </w:tc>
        <w:tc>
          <w:tcPr>
            <w:tcW w:type="dxa" w:w="2778"/>
          </w:tcPr>
          <w:p>
            <w:r/>
            <w:r>
              <w:rPr>
                <w:sz w:val="17"/>
              </w:rPr>
              <w:t>Medir sobrecarga e falta de autonomia</w:t>
            </w:r>
          </w:p>
        </w:tc>
      </w:tr>
      <w:tr>
        <w:tc>
          <w:tcPr>
            <w:tcW w:type="dxa" w:w="1474"/>
            <w:shd w:val="clear" w:color="auto" w:fill="F2F8FC"/>
          </w:tcPr>
          <w:p>
            <w:r/>
            <w:r>
              <w:rPr>
                <w:b/>
                <w:color w:val="0E2841"/>
                <w:sz w:val="17"/>
              </w:rPr>
              <w:t>ERI (Siegrist)</w:t>
            </w:r>
          </w:p>
        </w:tc>
        <w:tc>
          <w:tcPr>
            <w:tcW w:type="dxa" w:w="1928"/>
            <w:shd w:val="clear" w:color="auto" w:fill="F2F8FC"/>
          </w:tcPr>
          <w:p>
            <w:r/>
            <w:r>
              <w:rPr>
                <w:sz w:val="17"/>
              </w:rPr>
              <w:t>Modelo esforço-recompensa; validado no Brasil em 2008 (Fiocruz)</w:t>
            </w:r>
          </w:p>
        </w:tc>
        <w:tc>
          <w:tcPr>
            <w:tcW w:type="dxa" w:w="1474"/>
            <w:shd w:val="clear" w:color="auto" w:fill="F2F8FC"/>
          </w:tcPr>
          <w:p>
            <w:r/>
            <w:r>
              <w:rPr>
                <w:sz w:val="17"/>
              </w:rPr>
              <w:t>Curta: 16</w:t>
            </w:r>
          </w:p>
        </w:tc>
        <w:tc>
          <w:tcPr>
            <w:tcW w:type="dxa" w:w="1757"/>
            <w:shd w:val="clear" w:color="auto" w:fill="F2F8FC"/>
          </w:tcPr>
          <w:p>
            <w:r/>
            <w:r>
              <w:rPr>
                <w:sz w:val="17"/>
              </w:rPr>
              <w:t>Likert de 4 pontos</w:t>
            </w:r>
          </w:p>
        </w:tc>
        <w:tc>
          <w:tcPr>
            <w:tcW w:type="dxa" w:w="2778"/>
            <w:shd w:val="clear" w:color="auto" w:fill="F2F8FC"/>
          </w:tcPr>
          <w:p>
            <w:r/>
            <w:r>
              <w:rPr>
                <w:sz w:val="17"/>
              </w:rPr>
              <w:t>Desequilíbrio entre esforço e reconhecimento</w:t>
            </w:r>
          </w:p>
        </w:tc>
      </w:tr>
    </w:tbl>
    <w:p/>
    <w:p>
      <w:pPr>
        <w:pStyle w:val="Heading1"/>
      </w:pPr>
      <w:r>
        <w:t>Base científica principal</w:t>
      </w:r>
    </w:p>
    <w:p>
      <w:pPr>
        <w:pStyle w:val="Heading2"/>
      </w:pPr>
      <w:r>
        <w:t>COPSOQ II-Br (Copenhagen Psychosocial Questionnaire, versão curta brasileira)</w:t>
      </w:r>
    </w:p>
    <w:p>
      <w:r>
        <w:rPr>
          <w:i w:val="0"/>
        </w:rPr>
        <w:t>Versão curta do COPSOQ traduzida, adaptada e validada com trabalhadores brasileiros por pesquisadoras da Universidade Federal de São Carlos (UFSCar), com resultado publicado na Revista de Saúde Pública da USP em 2021. Em 2026, a Revista Brasileira de Saúde Ocupacional, da Fundacentro, publicou artigo das mesmas pesquisadoras que orienta o uso do COPSOQ II-Br no contexto da NR-1, com cálculo dos escores e classificação em semáforo.</w:t>
      </w:r>
    </w:p>
    <w:p>
      <w:pPr>
        <w:pStyle w:val="Heading3"/>
      </w:pPr>
      <w:r>
        <w:t>Dimensões avaliadas</w:t>
      </w:r>
    </w:p>
    <w:p>
      <w:pPr>
        <w:pStyle w:val="ListBullet"/>
      </w:pPr>
      <w:r>
        <w:t>Demandas no trabalho: quantitativas, ritmo e emocionais</w:t>
      </w:r>
    </w:p>
    <w:p>
      <w:pPr>
        <w:pStyle w:val="ListBullet"/>
      </w:pPr>
      <w:r>
        <w:t>Organização e conteúdo: influência, desenvolvimento, significado, comprometimento</w:t>
      </w:r>
    </w:p>
    <w:p>
      <w:pPr>
        <w:pStyle w:val="ListBullet"/>
      </w:pPr>
      <w:r>
        <w:t>Relações interpessoais: previsibilidade, reconhecimento, clareza do papel, liderança, suporte social</w:t>
      </w:r>
    </w:p>
    <w:p>
      <w:pPr>
        <w:pStyle w:val="ListBullet"/>
      </w:pPr>
      <w:r>
        <w:t>Interface trabalho-indivíduo: satisfação, conflito trabalho e família</w:t>
      </w:r>
    </w:p>
    <w:p>
      <w:pPr>
        <w:pStyle w:val="ListBullet"/>
      </w:pPr>
      <w:r>
        <w:t>Valores do local de trabalho: confiança na gestão e justiça</w:t>
      </w:r>
    </w:p>
    <w:p>
      <w:pPr>
        <w:pStyle w:val="ListBullet"/>
      </w:pPr>
      <w:r>
        <w:t>Saúde e bem-estar</w:t>
      </w:r>
    </w:p>
    <w:p>
      <w:pPr>
        <w:pStyle w:val="ListBullet"/>
      </w:pPr>
      <w:r>
        <w:t>Comportamentos ofensivos: atenção sexual indesejada, ameaças, violência física e bullying</w:t>
      </w:r>
    </w:p>
    <w:p>
      <w:pPr>
        <w:pStyle w:val="Heading3"/>
      </w:pPr>
      <w:r>
        <w:t>Exemplos de perguntas (redação adaptada, para ilustrar o formato)</w:t>
      </w:r>
    </w:p>
    <w:p>
      <w:pPr>
        <w:pStyle w:val="ListBullet"/>
      </w:pPr>
      <w:r>
        <w:t>O tempo para realizar as suas tarefas é suficiente?</w:t>
      </w:r>
    </w:p>
    <w:p>
      <w:pPr>
        <w:pStyle w:val="ListBullet"/>
      </w:pPr>
      <w:r>
        <w:t>Você é informado antecipadamente sobre mudanças importantes?</w:t>
      </w:r>
    </w:p>
    <w:p>
      <w:pPr>
        <w:pStyle w:val="ListBullet"/>
      </w:pPr>
      <w:r>
        <w:t>Os conflitos são resolvidos de forma justa?</w:t>
      </w:r>
    </w:p>
    <w:p>
      <w:pPr>
        <w:pStyle w:val="ListBullet"/>
      </w:pPr>
      <w:r>
        <w:t>Você foi exposto a ameaças de violência no trabalho nos últimos 12 meses?</w:t>
      </w:r>
    </w:p>
    <w:p>
      <w:r>
        <w:rPr>
          <w:b/>
          <w:color w:val="0E2841"/>
        </w:rPr>
        <w:t xml:space="preserve">Vantagens: </w:t>
      </w:r>
      <w:r>
        <w:t>validado no Brasil, atual, curto (40 questões), com orientação específica para a NR-1 publicada pela Fundacentro e semáforo pronto para o plano de ação.</w:t>
      </w:r>
    </w:p>
    <w:p>
      <w:r>
        <w:rPr>
          <w:b/>
          <w:color w:val="0E2841"/>
        </w:rPr>
        <w:t xml:space="preserve">Limitações: </w:t>
      </w:r>
      <w:r>
        <w:t>não cobre trabalho remoto e isolado nem treinamento em mudanças; inclui sintomas de saúde, que o guia do MTE orienta não usar como fator de risco (o questionário P&amp;C deixa esses itens de fora).</w:t>
      </w:r>
    </w:p>
    <w:p>
      <w:r>
        <w:rPr>
          <w:b/>
          <w:color w:val="0E2841"/>
        </w:rPr>
        <w:t xml:space="preserve">Fonte: </w:t>
      </w:r>
      <w:r>
        <w:rPr>
          <w:i w:val="0"/>
          <w:color w:val="6A7D90"/>
          <w:sz w:val="17"/>
        </w:rPr>
        <w:t>GONÇALVES, J. S. et al. Cross-cultural adaptation and psychometric properties of the short version of COPSOQ II-Brazil. Revista de Saúde Pública, v. 55, 69, 2021. SATO, T. O. et al. COPSOQ II-Br: aplicação e potencialidades no contexto da NR-1. Revista Brasileira de Saúde Ocupacional, v. 51, e21, 2026.</w:t>
      </w:r>
    </w:p>
    <w:p>
      <w:pPr>
        <w:pStyle w:val="Heading1"/>
      </w:pPr>
      <w:r>
        <w:t>Questionários complementares validados no Brasil</w:t>
      </w:r>
    </w:p>
    <w:p>
      <w:pPr>
        <w:pStyle w:val="Heading2"/>
      </w:pPr>
      <w:r>
        <w:t>PROART (Protocolo de Avaliação dos Riscos Psicossociais no Trabalho)</w:t>
      </w:r>
    </w:p>
    <w:p>
      <w:r>
        <w:rPr>
          <w:i w:val="0"/>
        </w:rPr>
        <w:t>Instrumento brasileiro, desenvolvido e validado na Universidade de Brasília, organizado em quatro escalas. Foi pensado para a realidade das organizações nacionais e liga a organização do trabalho aos efeitos na saúde.</w:t>
      </w:r>
    </w:p>
    <w:p>
      <w:pPr>
        <w:pStyle w:val="Heading3"/>
      </w:pPr>
      <w:r>
        <w:t>Dimensões avaliadas</w:t>
      </w:r>
    </w:p>
    <w:p>
      <w:pPr>
        <w:pStyle w:val="ListBullet"/>
      </w:pPr>
      <w:r>
        <w:t>Organização prescrita do trabalho</w:t>
      </w:r>
    </w:p>
    <w:p>
      <w:pPr>
        <w:pStyle w:val="ListBullet"/>
      </w:pPr>
      <w:r>
        <w:t>Estilos de gestão</w:t>
      </w:r>
    </w:p>
    <w:p>
      <w:pPr>
        <w:pStyle w:val="ListBullet"/>
      </w:pPr>
      <w:r>
        <w:t>Sofrimento patogênico no trabalho</w:t>
      </w:r>
    </w:p>
    <w:p>
      <w:pPr>
        <w:pStyle w:val="ListBullet"/>
      </w:pPr>
      <w:r>
        <w:t>Danos físicos e psicossociais</w:t>
      </w:r>
    </w:p>
    <w:p>
      <w:pPr>
        <w:pStyle w:val="Heading3"/>
      </w:pPr>
      <w:r>
        <w:t>Exemplos de perguntas (redação adaptada, para ilustrar o formato)</w:t>
      </w:r>
    </w:p>
    <w:p>
      <w:pPr>
        <w:pStyle w:val="ListBullet"/>
      </w:pPr>
      <w:r>
        <w:t>O ritmo de trabalho é adequado.</w:t>
      </w:r>
    </w:p>
    <w:p>
      <w:pPr>
        <w:pStyle w:val="ListBullet"/>
      </w:pPr>
      <w:r>
        <w:t>Os gestores se preocupam com o bem-estar dos trabalhadores.</w:t>
      </w:r>
    </w:p>
    <w:p>
      <w:pPr>
        <w:pStyle w:val="ListBullet"/>
      </w:pPr>
      <w:r>
        <w:t>Sinto-me desvalorizado no trabalho.</w:t>
      </w:r>
    </w:p>
    <w:p>
      <w:pPr>
        <w:pStyle w:val="ListBullet"/>
      </w:pPr>
      <w:r>
        <w:t>Tenho dores de cabeça ou alterações no sono.</w:t>
      </w:r>
    </w:p>
    <w:p>
      <w:r>
        <w:rPr>
          <w:b/>
          <w:color w:val="0E2841"/>
        </w:rPr>
        <w:t xml:space="preserve">Vantagens: </w:t>
      </w:r>
      <w:r>
        <w:t>nacional, com linguagem próxima da realidade brasileira, liga causas e efeitos.</w:t>
      </w:r>
    </w:p>
    <w:p>
      <w:r>
        <w:rPr>
          <w:b/>
          <w:color w:val="0E2841"/>
        </w:rPr>
        <w:t xml:space="preserve">Limitações: </w:t>
      </w:r>
      <w:r>
        <w:t>longo; a apuração exige atenção às diferentes escalas; parte das escalas mede sintomas, que o guia do MTE orienta não usar.</w:t>
      </w:r>
    </w:p>
    <w:p>
      <w:r>
        <w:rPr>
          <w:b/>
          <w:color w:val="0E2841"/>
        </w:rPr>
        <w:t xml:space="preserve">Fonte: </w:t>
      </w:r>
      <w:r>
        <w:rPr>
          <w:i w:val="0"/>
          <w:color w:val="6A7D90"/>
          <w:sz w:val="17"/>
        </w:rPr>
        <w:t>FACAS, E. P. Protocolo de Avaliação dos Riscos Psicossociais no Trabalho: contribuições da psicodinâmica do trabalho. Tese (Doutorado), Universidade de Brasília, 2013. Acesso aberto no repositório da UnB.</w:t>
      </w:r>
    </w:p>
    <w:p>
      <w:pPr>
        <w:pStyle w:val="Heading2"/>
      </w:pPr>
      <w:r>
        <w:t>Job Stress Scale (versão resumida do modelo demanda-controle de Karasek)</w:t>
      </w:r>
    </w:p>
    <w:p>
      <w:r>
        <w:rPr>
          <w:i w:val="0"/>
        </w:rPr>
        <w:t>Baseada no modelo demanda-controle-apoio: o risco aumenta quando a demanda é alta e o controle sobre o trabalho é baixo, especialmente sem apoio social. É a versão sueca resumida (DCSQ), com 17 perguntas, adaptada e validada para o português.</w:t>
      </w:r>
    </w:p>
    <w:p>
      <w:pPr>
        <w:pStyle w:val="Heading3"/>
      </w:pPr>
      <w:r>
        <w:t>Dimensões avaliadas</w:t>
      </w:r>
    </w:p>
    <w:p>
      <w:pPr>
        <w:pStyle w:val="ListBullet"/>
      </w:pPr>
      <w:r>
        <w:t>Demanda psicológica</w:t>
      </w:r>
    </w:p>
    <w:p>
      <w:pPr>
        <w:pStyle w:val="ListBullet"/>
      </w:pPr>
      <w:r>
        <w:t>Controle (uso de habilidades e autonomia de decisão)</w:t>
      </w:r>
    </w:p>
    <w:p>
      <w:pPr>
        <w:pStyle w:val="ListBullet"/>
      </w:pPr>
      <w:r>
        <w:t>Apoio social de colegas e chefia</w:t>
      </w:r>
    </w:p>
    <w:p>
      <w:pPr>
        <w:pStyle w:val="Heading3"/>
      </w:pPr>
      <w:r>
        <w:t>Exemplos de perguntas (redação adaptada, para ilustrar o formato)</w:t>
      </w:r>
    </w:p>
    <w:p>
      <w:pPr>
        <w:pStyle w:val="ListBullet"/>
      </w:pPr>
      <w:r>
        <w:t>Seu trabalho exige que você trabalhe muito rápido?</w:t>
      </w:r>
    </w:p>
    <w:p>
      <w:pPr>
        <w:pStyle w:val="ListBullet"/>
      </w:pPr>
      <w:r>
        <w:t>Você pode escolher como fazer o seu trabalho?</w:t>
      </w:r>
    </w:p>
    <w:p>
      <w:pPr>
        <w:pStyle w:val="ListBullet"/>
      </w:pPr>
      <w:r>
        <w:t>Existe um ambiente calmo e agradável onde você trabalha?</w:t>
      </w:r>
    </w:p>
    <w:p>
      <w:r>
        <w:rPr>
          <w:b/>
          <w:color w:val="0E2841"/>
        </w:rPr>
        <w:t xml:space="preserve">Vantagens: </w:t>
      </w:r>
      <w:r>
        <w:t>modelo teórico consolidado, curto, validado no Brasil, bom para identificar grupos de alta exigência e pouca autonomia.</w:t>
      </w:r>
    </w:p>
    <w:p>
      <w:r>
        <w:rPr>
          <w:b/>
          <w:color w:val="0E2841"/>
        </w:rPr>
        <w:t xml:space="preserve">Limitações: </w:t>
      </w:r>
      <w:r>
        <w:t>não cobre assédio, reconhecimento, jornada nem mudanças organizacionais.</w:t>
      </w:r>
    </w:p>
    <w:p>
      <w:r>
        <w:rPr>
          <w:b/>
          <w:color w:val="0E2841"/>
        </w:rPr>
        <w:t xml:space="preserve">Fonte: </w:t>
      </w:r>
      <w:r>
        <w:rPr>
          <w:i w:val="0"/>
          <w:color w:val="6A7D90"/>
          <w:sz w:val="17"/>
        </w:rPr>
        <w:t>ALVES, M. G. M. et al. Versão resumida da "job stress scale": adaptação para o português. Revista de Saúde Pública, v. 38, n. 2, p. 164-171, 2004. Acesso aberto no SciELO.</w:t>
      </w:r>
    </w:p>
    <w:p>
      <w:pPr>
        <w:pStyle w:val="Heading2"/>
      </w:pPr>
      <w:r>
        <w:t>ERI (Effort-Reward Imbalance, modelo de Siegrist)</w:t>
      </w:r>
    </w:p>
    <w:p>
      <w:r>
        <w:rPr>
          <w:i w:val="0"/>
        </w:rPr>
        <w:t>Mede o desequilíbrio entre o esforço dedicado ao trabalho e as recompensas recebidas (reconhecimento, salário, estabilidade, perspectiva de crescimento), além do comprometimento excessivo. Tem versão brasileira validada.</w:t>
      </w:r>
    </w:p>
    <w:p>
      <w:pPr>
        <w:pStyle w:val="Heading3"/>
      </w:pPr>
      <w:r>
        <w:t>Dimensões avaliadas</w:t>
      </w:r>
    </w:p>
    <w:p>
      <w:pPr>
        <w:pStyle w:val="ListBullet"/>
      </w:pPr>
      <w:r>
        <w:t>Esforço</w:t>
      </w:r>
    </w:p>
    <w:p>
      <w:pPr>
        <w:pStyle w:val="ListBullet"/>
      </w:pPr>
      <w:r>
        <w:t>Recompensa: estima, segurança e perspectivas</w:t>
      </w:r>
    </w:p>
    <w:p>
      <w:pPr>
        <w:pStyle w:val="ListBullet"/>
      </w:pPr>
      <w:r>
        <w:t>Comprometimento excessivo</w:t>
      </w:r>
    </w:p>
    <w:p>
      <w:pPr>
        <w:pStyle w:val="Heading3"/>
      </w:pPr>
      <w:r>
        <w:t>Exemplos de perguntas (redação adaptada, para ilustrar o formato)</w:t>
      </w:r>
    </w:p>
    <w:p>
      <w:pPr>
        <w:pStyle w:val="ListBullet"/>
      </w:pPr>
      <w:r>
        <w:t>Tenho muita pressão de tempo por causa da carga de trabalho.</w:t>
      </w:r>
    </w:p>
    <w:p>
      <w:pPr>
        <w:pStyle w:val="ListBullet"/>
      </w:pPr>
      <w:r>
        <w:t>Recebo o reconhecimento que mereço dos meus superiores.</w:t>
      </w:r>
    </w:p>
    <w:p>
      <w:pPr>
        <w:pStyle w:val="ListBullet"/>
      </w:pPr>
      <w:r>
        <w:t>Quando chego em casa, consigo me desligar do trabalho com facilidade.</w:t>
      </w:r>
    </w:p>
    <w:p>
      <w:r>
        <w:rPr>
          <w:b/>
          <w:color w:val="0E2841"/>
        </w:rPr>
        <w:t xml:space="preserve">Vantagens: </w:t>
      </w:r>
      <w:r>
        <w:t>capta frustração com reconhecimento e dificuldade de desconectar, frequentes em escritórios de advocacia.</w:t>
      </w:r>
    </w:p>
    <w:p>
      <w:r>
        <w:rPr>
          <w:b/>
          <w:color w:val="0E2841"/>
        </w:rPr>
        <w:t xml:space="preserve">Limitações: </w:t>
      </w:r>
      <w:r>
        <w:t>sozinho não cobre o conjunto da NR-01; o uso comercial dos itens depende de autorização do titular, por isso a P&amp;C usa redação própria.</w:t>
      </w:r>
    </w:p>
    <w:p>
      <w:r>
        <w:rPr>
          <w:b/>
          <w:color w:val="0E2841"/>
        </w:rPr>
        <w:t xml:space="preserve">Fonte: </w:t>
      </w:r>
      <w:r>
        <w:rPr>
          <w:i w:val="0"/>
          <w:color w:val="6A7D90"/>
          <w:sz w:val="17"/>
        </w:rPr>
        <w:t>CHOR, D. et al. The Brazilian version of the effort-reward imbalance questionnaire to assess job stress. Cadernos de Saúde Pública, v. 24, n. 1, p. 219-224, 2008. Questionário no site do Instituto de Sociologia Médica da Universidade de Düsseldorf.</w:t>
      </w:r>
    </w:p>
    <w:p>
      <w:pPr>
        <w:pStyle w:val="Heading1"/>
      </w:pPr>
      <w:r>
        <w:t>Por que a P&amp;C usa um questionário próprio</w:t>
      </w:r>
    </w:p>
    <w:p>
      <w:r>
        <w:rPr>
          <w:i w:val="0"/>
        </w:rPr>
        <w:t>O questionário da Peixoto &amp; Cury é organizado exatamente pelos 13 fatores do guia do MTE e segue as orientações do Manual do GRO (MTE, 2026). Cada item tem como fonte principal o fator correspondente do guia e, quando existe, um item equivalente no COPSOQ II-Br e nos complementares validados no Brasil (Job Stress Scale, ERI e PROART); nos demais, a legislação trabalhista (CLT e Lei nº 14.457/2022). Pergunta sobre as condições e a organização do trabalho, e não sobre sintomas, como orienta o guia, para que o resultado alimente diretamente a AEP e o inventário de riscos do PGR.</w:t>
      </w:r>
    </w:p>
    <w:p>
      <w:r>
        <w:rPr>
          <w:b/>
          <w:color w:val="0E2841"/>
        </w:rPr>
        <w:t xml:space="preserve">Documentação: </w:t>
      </w:r>
      <w:r>
        <w:rPr>
          <w:i w:val="0"/>
          <w:color w:val="6A7D90"/>
          <w:sz w:val="17"/>
        </w:rPr>
        <w:t>O mapa item a item com as fontes de cada pergunta está no arquivo "06 - Mapa item a item das fontes".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6A7D90"/>
        <w:sz w:val="15"/>
      </w:rPr>
      <w:t>Peixoto &amp; Cury Advogados · Uso interno · Riscos psicossociais (NR-01)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886737" cy="324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6737" cy="324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Verdana" w:hAnsi="Verdana" w:eastAsia="Verdana"/>
      <w:color w:val="33475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Verdana" w:hAnsi="Verdana" w:eastAsia="Verdana"/>
      <w:b/>
      <w:bCs/>
      <w:color w:val="0E284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Verdana" w:hAnsi="Verdana" w:eastAsia="Verdana"/>
      <w:b/>
      <w:bCs/>
      <w:color w:val="0E284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Verdana" w:hAnsi="Verdana" w:eastAsia="Verdana"/>
      <w:b/>
      <w:bCs/>
      <w:color w:val="009FD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