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9FD9"/>
          <w:sz w:val="16"/>
        </w:rPr>
        <w:t>NR-01 · GERENCIAMENTO DE RISCOS OCUPACIONAIS</w:t>
      </w:r>
    </w:p>
    <w:p>
      <w:pPr>
        <w:spacing w:after="200"/>
      </w:pPr>
      <w:r>
        <w:rPr>
          <w:b/>
          <w:color w:val="0E2841"/>
          <w:sz w:val="40"/>
        </w:rPr>
        <w:t>Questionários de riscos psicossociais: modelos de referência</w:t>
      </w:r>
    </w:p>
    <w:p>
      <w:pPr>
        <w:pStyle w:val="Heading1"/>
      </w:pPr>
      <w:r>
        <w:t>Para que serve este material</w:t>
      </w:r>
    </w:p>
    <w:p>
      <w:r>
        <w:rPr>
          <w:i w:val="0"/>
        </w:rPr>
        <w:t>A NR-01 passou a exigir que os fatores de risco psicossociais relacionados ao trabalho façam parte do Gerenciamento de Riscos Ocupacionais (GRO) e do inventário de riscos do PGR. A norma não impõe um questionário específico: a empresa escolhe a metodologia, desde que identifique os fatores, avalie o risco e registre as medidas de prevenção.</w:t>
      </w:r>
    </w:p>
    <w:p>
      <w:r>
        <w:rPr>
          <w:i w:val="0"/>
        </w:rPr>
        <w:t>Este documento resume os modelos mais usados por empresas e consultorias de SST no Brasil, para servir de referência. O questionário da Peixoto &amp; Cury está em arquivo separado.</w:t>
      </w:r>
    </w:p>
    <w:p>
      <w:r>
        <w:rPr>
          <w:b/>
          <w:color w:val="0E2841"/>
        </w:rPr>
        <w:t xml:space="preserve">Observação: </w:t>
      </w:r>
      <w:r>
        <w:rPr>
          <w:i w:val="0"/>
          <w:color w:val="6A7D90"/>
          <w:sz w:val="17"/>
        </w:rPr>
        <w:t>Base normativa: Portaria MTE nº 1.419/2024, que incluiu os fatores psicossociais no GRO (subitem 1.5.3.1.4 da NR-1), com vigência a partir de 26/05/2026 (Portaria MTE nº 765/2025). Conferir atualizações antes de citar em documento externo.</w:t>
      </w:r>
    </w:p>
    <w:p>
      <w:pPr>
        <w:pStyle w:val="Heading1"/>
      </w:pPr>
      <w:r>
        <w:t>Comparativo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474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928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1474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Nº de perguntas</w:t>
            </w:r>
          </w:p>
        </w:tc>
        <w:tc>
          <w:tcPr>
            <w:tcW w:type="dxa" w:w="1757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Escala</w:t>
            </w:r>
          </w:p>
        </w:tc>
        <w:tc>
          <w:tcPr>
            <w:tcW w:type="dxa" w:w="2778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Melhor uso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0E2841"/>
                <w:sz w:val="17"/>
              </w:rPr>
              <w:t>COPSOQ II / III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Dinamarca (Copenhague); versão brasileira validada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Curta ~40 · média ~90 · longa 120+</w:t>
            </w:r>
          </w:p>
        </w:tc>
        <w:tc>
          <w:tcPr>
            <w:tcW w:type="dxa" w:w="1757"/>
          </w:tcPr>
          <w:p>
            <w:r/>
            <w:r>
              <w:rPr>
                <w:sz w:val="17"/>
              </w:rPr>
              <w:t>Likert de 5 pontos (frequência ou intensidade)</w:t>
            </w:r>
          </w:p>
        </w:tc>
        <w:tc>
          <w:tcPr>
            <w:tcW w:type="dxa" w:w="2778"/>
          </w:tcPr>
          <w:p>
            <w:r/>
            <w:r>
              <w:rPr>
                <w:sz w:val="17"/>
              </w:rPr>
              <w:t>Diagnóstico completo; o mais usado no Brasil</w:t>
            </w:r>
          </w:p>
        </w:tc>
      </w:tr>
      <w:tr>
        <w:tc>
          <w:tcPr>
            <w:tcW w:type="dxa" w:w="1474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HSE Indicator Tool</w:t>
            </w:r>
          </w:p>
        </w:tc>
        <w:tc>
          <w:tcPr>
            <w:tcW w:type="dxa" w:w="1928"/>
            <w:shd w:val="clear" w:color="auto" w:fill="F2F8FC"/>
          </w:tcPr>
          <w:p>
            <w:r/>
            <w:r>
              <w:rPr>
                <w:sz w:val="17"/>
              </w:rPr>
              <w:t>Health and Safety Executive (Reino Unido)</w:t>
            </w:r>
          </w:p>
        </w:tc>
        <w:tc>
          <w:tcPr>
            <w:tcW w:type="dxa" w:w="1474"/>
            <w:shd w:val="clear" w:color="auto" w:fill="F2F8FC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1757"/>
            <w:shd w:val="clear" w:color="auto" w:fill="F2F8FC"/>
          </w:tcPr>
          <w:p>
            <w:r/>
            <w:r>
              <w:rPr>
                <w:sz w:val="17"/>
              </w:rPr>
              <w:t>Likert de 5 pontos</w:t>
            </w:r>
          </w:p>
        </w:tc>
        <w:tc>
          <w:tcPr>
            <w:tcW w:type="dxa" w:w="2778"/>
            <w:shd w:val="clear" w:color="auto" w:fill="F2F8FC"/>
          </w:tcPr>
          <w:p>
            <w:r/>
            <w:r>
              <w:rPr>
                <w:sz w:val="17"/>
              </w:rPr>
              <w:t>Primeira aplicação, rápida e fácil de apurar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0E2841"/>
                <w:sz w:val="17"/>
              </w:rPr>
              <w:t>JCQ (Karasek)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Modelo demanda-controle-apoio (EUA/Suécia)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Versão sueca curta: 17</w:t>
            </w:r>
          </w:p>
        </w:tc>
        <w:tc>
          <w:tcPr>
            <w:tcW w:type="dxa" w:w="1757"/>
          </w:tcPr>
          <w:p>
            <w:r/>
            <w:r>
              <w:rPr>
                <w:sz w:val="17"/>
              </w:rPr>
              <w:t>Likert de 4 pontos</w:t>
            </w:r>
          </w:p>
        </w:tc>
        <w:tc>
          <w:tcPr>
            <w:tcW w:type="dxa" w:w="2778"/>
          </w:tcPr>
          <w:p>
            <w:r/>
            <w:r>
              <w:rPr>
                <w:sz w:val="17"/>
              </w:rPr>
              <w:t>Medir sobrecarga e falta de autonomia</w:t>
            </w:r>
          </w:p>
        </w:tc>
      </w:tr>
      <w:tr>
        <w:tc>
          <w:tcPr>
            <w:tcW w:type="dxa" w:w="1474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ERI (Siegrist)</w:t>
            </w:r>
          </w:p>
        </w:tc>
        <w:tc>
          <w:tcPr>
            <w:tcW w:type="dxa" w:w="1928"/>
            <w:shd w:val="clear" w:color="auto" w:fill="F2F8FC"/>
          </w:tcPr>
          <w:p>
            <w:r/>
            <w:r>
              <w:rPr>
                <w:sz w:val="17"/>
              </w:rPr>
              <w:t>Modelo esforço-recompensa (Alemanha)</w:t>
            </w:r>
          </w:p>
        </w:tc>
        <w:tc>
          <w:tcPr>
            <w:tcW w:type="dxa" w:w="1474"/>
            <w:shd w:val="clear" w:color="auto" w:fill="F2F8FC"/>
          </w:tcPr>
          <w:p>
            <w:r/>
            <w:r>
              <w:rPr>
                <w:sz w:val="17"/>
              </w:rPr>
              <w:t>Curta: 16</w:t>
            </w:r>
          </w:p>
        </w:tc>
        <w:tc>
          <w:tcPr>
            <w:tcW w:type="dxa" w:w="1757"/>
            <w:shd w:val="clear" w:color="auto" w:fill="F2F8FC"/>
          </w:tcPr>
          <w:p>
            <w:r/>
            <w:r>
              <w:rPr>
                <w:sz w:val="17"/>
              </w:rPr>
              <w:t>Likert de 4 pontos</w:t>
            </w:r>
          </w:p>
        </w:tc>
        <w:tc>
          <w:tcPr>
            <w:tcW w:type="dxa" w:w="2778"/>
            <w:shd w:val="clear" w:color="auto" w:fill="F2F8FC"/>
          </w:tcPr>
          <w:p>
            <w:r/>
            <w:r>
              <w:rPr>
                <w:sz w:val="17"/>
              </w:rPr>
              <w:t>Complemento: desequilíbrio entre esforço e reconhecimento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0E2841"/>
                <w:sz w:val="17"/>
              </w:rPr>
              <w:t>PROART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UnB (Brasil)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~90, em 4 escalas</w:t>
            </w:r>
          </w:p>
        </w:tc>
        <w:tc>
          <w:tcPr>
            <w:tcW w:type="dxa" w:w="1757"/>
          </w:tcPr>
          <w:p>
            <w:r/>
            <w:r>
              <w:rPr>
                <w:sz w:val="17"/>
              </w:rPr>
              <w:t>Likert de 5 pontos</w:t>
            </w:r>
          </w:p>
        </w:tc>
        <w:tc>
          <w:tcPr>
            <w:tcW w:type="dxa" w:w="2778"/>
          </w:tcPr>
          <w:p>
            <w:r/>
            <w:r>
              <w:rPr>
                <w:sz w:val="17"/>
              </w:rPr>
              <w:t>Visão de organização do trabalho, gestão e danos à saúde</w:t>
            </w:r>
          </w:p>
        </w:tc>
      </w:tr>
      <w:tr>
        <w:tc>
          <w:tcPr>
            <w:tcW w:type="dxa" w:w="1474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Guia do MTE</w:t>
            </w:r>
          </w:p>
        </w:tc>
        <w:tc>
          <w:tcPr>
            <w:tcW w:type="dxa" w:w="1928"/>
            <w:shd w:val="clear" w:color="auto" w:fill="F2F8FC"/>
          </w:tcPr>
          <w:p>
            <w:r/>
            <w:r>
              <w:rPr>
                <w:sz w:val="17"/>
              </w:rPr>
              <w:t>Ministério do Trabalho e Emprego</w:t>
            </w:r>
          </w:p>
        </w:tc>
        <w:tc>
          <w:tcPr>
            <w:tcW w:type="dxa" w:w="1474"/>
            <w:shd w:val="clear" w:color="auto" w:fill="F2F8FC"/>
          </w:tcPr>
          <w:p>
            <w:r/>
            <w:r>
              <w:rPr>
                <w:sz w:val="17"/>
              </w:rPr>
              <w:t>Não é questionário</w:t>
            </w:r>
          </w:p>
        </w:tc>
        <w:tc>
          <w:tcPr>
            <w:tcW w:type="dxa" w:w="1757"/>
            <w:shd w:val="clear" w:color="auto" w:fill="F2F8FC"/>
          </w:tcPr>
          <w:p>
            <w:r/>
            <w:r>
              <w:rPr>
                <w:sz w:val="17"/>
              </w:rPr>
              <w:t>Não se aplica</w:t>
            </w:r>
          </w:p>
        </w:tc>
        <w:tc>
          <w:tcPr>
            <w:tcW w:type="dxa" w:w="2778"/>
            <w:shd w:val="clear" w:color="auto" w:fill="F2F8FC"/>
          </w:tcPr>
          <w:p>
            <w:r/>
            <w:r>
              <w:rPr>
                <w:sz w:val="17"/>
              </w:rPr>
              <w:t>Referência oficial: 13 fatores, AEP (NR-17) e conteúdo do inventário; não indica metodologia</w:t>
            </w:r>
          </w:p>
        </w:tc>
      </w:tr>
    </w:tbl>
    <w:p/>
    <w:p>
      <w:pPr>
        <w:pStyle w:val="Heading1"/>
      </w:pPr>
      <w:r>
        <w:t>Modelos em detalhe</w:t>
      </w:r>
    </w:p>
    <w:p>
      <w:pPr>
        <w:pStyle w:val="Heading2"/>
      </w:pPr>
      <w:r>
        <w:t>COPSOQ (Copenhagen Psychosocial Questionnaire)</w:t>
      </w:r>
    </w:p>
    <w:p>
      <w:r>
        <w:rPr>
          <w:i w:val="0"/>
        </w:rPr>
        <w:t>Instrumento de uso livre, criado pelo Instituto Nacional de Saúde Ocupacional da Dinamarca e hoje mantido por uma rede internacional. Tem versões curta, média e longa, e a versão brasileira foi validada em estudos acadêmicos. É o modelo mais completo para cobrir os fatores exigidos pela NR-01.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Exigências do trabalho: quantitativas, ritmo, cognitivas e emocionais</w:t>
      </w:r>
    </w:p>
    <w:p>
      <w:pPr>
        <w:pStyle w:val="ListBullet"/>
      </w:pPr>
      <w:r>
        <w:t>Organização e conteúdo: influência, possibilidades de desenvolvimento, sentido do trabalho</w:t>
      </w:r>
    </w:p>
    <w:p>
      <w:pPr>
        <w:pStyle w:val="ListBullet"/>
      </w:pPr>
      <w:r>
        <w:t>Relações e liderança: previsibilidade, reconhecimento, clareza e conflito de papel, qualidade da liderança, apoio social</w:t>
      </w:r>
    </w:p>
    <w:p>
      <w:pPr>
        <w:pStyle w:val="ListBullet"/>
      </w:pPr>
      <w:r>
        <w:t>Interface trabalho-indivíduo: insegurança no emprego, conflito trabalho-família, satisfação</w:t>
      </w:r>
    </w:p>
    <w:p>
      <w:pPr>
        <w:pStyle w:val="ListBullet"/>
      </w:pPr>
      <w:r>
        <w:t>Valores no local de trabalho: confiança e justiça</w:t>
      </w:r>
    </w:p>
    <w:p>
      <w:pPr>
        <w:pStyle w:val="ListBullet"/>
      </w:pPr>
      <w:r>
        <w:t>Saúde e bem-estar: burnout, estresse, sono</w:t>
      </w:r>
    </w:p>
    <w:p>
      <w:pPr>
        <w:pStyle w:val="ListBullet"/>
      </w:pPr>
      <w:r>
        <w:t>Comportamentos ofensivos: assédio, ameaças, violência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Com que frequência você não tem tempo para concluir todas as suas tarefas?</w:t>
      </w:r>
    </w:p>
    <w:p>
      <w:pPr>
        <w:pStyle w:val="ListBullet"/>
      </w:pPr>
      <w:r>
        <w:t>Você tem influência sobre a quantidade de trabalho que lhe é atribuída?</w:t>
      </w:r>
    </w:p>
    <w:p>
      <w:pPr>
        <w:pStyle w:val="ListBullet"/>
      </w:pPr>
      <w:r>
        <w:t>Seu trabalho é reconhecido e valorizado pela gestão?</w:t>
      </w:r>
    </w:p>
    <w:p>
      <w:pPr>
        <w:pStyle w:val="ListBullet"/>
      </w:pPr>
      <w:r>
        <w:t>Nos últimos 12 meses, você foi alvo de humilhações ou comportamento ofensivo no trabalho?</w:t>
      </w:r>
    </w:p>
    <w:p>
      <w:r>
        <w:rPr>
          <w:b/>
          <w:color w:val="0E2841"/>
        </w:rPr>
        <w:t xml:space="preserve">Vantagens: </w:t>
      </w:r>
      <w:r>
        <w:t>cobertura ampla, comparável com outras empresas, uso gratuito e validação no Brasil.</w:t>
      </w:r>
    </w:p>
    <w:p>
      <w:r>
        <w:rPr>
          <w:b/>
          <w:color w:val="0E2841"/>
        </w:rPr>
        <w:t xml:space="preserve">Limitações: </w:t>
      </w:r>
      <w:r>
        <w:t>a versão média é longa para aplicar com frequência; exige cuidado na apuração por escalas.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rede internacional COPSOQ (copsoq-network.org) e artigos de validação da versão brasileira.</w:t>
      </w:r>
    </w:p>
    <w:p>
      <w:pPr>
        <w:pStyle w:val="Heading2"/>
      </w:pPr>
      <w:r>
        <w:t>HSE Management Standards Indicator Tool</w:t>
      </w:r>
    </w:p>
    <w:p>
      <w:r>
        <w:rPr>
          <w:i w:val="0"/>
        </w:rPr>
        <w:t>Ferramenta do órgão britânico de saúde e segurança (HSE), com 35 perguntas organizadas em 7 padrões de gestão do estresse. É simples de aplicar e apurar, e vem com metas de referência por dimensão.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rPr>
          <w:b/>
          <w:color w:val="0E2841"/>
        </w:rPr>
        <w:t xml:space="preserve">Demandas: </w:t>
      </w:r>
      <w:r>
        <w:t>volume, ritmo e prazos</w:t>
      </w:r>
    </w:p>
    <w:p>
      <w:pPr>
        <w:pStyle w:val="ListBullet"/>
      </w:pPr>
      <w:r>
        <w:rPr>
          <w:b/>
          <w:color w:val="0E2841"/>
        </w:rPr>
        <w:t xml:space="preserve">Controle: </w:t>
      </w:r>
      <w:r>
        <w:t>autonomia sobre como e quando fazer o trabalho</w:t>
      </w:r>
    </w:p>
    <w:p>
      <w:pPr>
        <w:pStyle w:val="ListBullet"/>
      </w:pPr>
      <w:r>
        <w:rPr>
          <w:b/>
          <w:color w:val="0E2841"/>
        </w:rPr>
        <w:t>Apoio da chefia</w:t>
      </w:r>
      <w:r/>
    </w:p>
    <w:p>
      <w:pPr>
        <w:pStyle w:val="ListBullet"/>
      </w:pPr>
      <w:r>
        <w:rPr>
          <w:b/>
          <w:color w:val="0E2841"/>
        </w:rPr>
        <w:t>Apoio dos colegas</w:t>
      </w:r>
      <w:r/>
    </w:p>
    <w:p>
      <w:pPr>
        <w:pStyle w:val="ListBullet"/>
      </w:pPr>
      <w:r>
        <w:rPr>
          <w:b/>
          <w:color w:val="0E2841"/>
        </w:rPr>
        <w:t xml:space="preserve">Relacionamentos: </w:t>
      </w:r>
      <w:r>
        <w:t>conflitos e comportamentos inaceitáveis</w:t>
      </w:r>
    </w:p>
    <w:p>
      <w:pPr>
        <w:pStyle w:val="ListBullet"/>
      </w:pPr>
      <w:r>
        <w:rPr>
          <w:b/>
          <w:color w:val="0E2841"/>
        </w:rPr>
        <w:t xml:space="preserve">Papel: </w:t>
      </w:r>
      <w:r>
        <w:t>clareza de função e responsabilidades</w:t>
      </w:r>
    </w:p>
    <w:p>
      <w:pPr>
        <w:pStyle w:val="ListBullet"/>
      </w:pPr>
      <w:r>
        <w:rPr>
          <w:b/>
          <w:color w:val="0E2841"/>
        </w:rPr>
        <w:t xml:space="preserve">Mudanças: </w:t>
      </w:r>
      <w:r>
        <w:t>como as mudanças são comunicadas e conduzidas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Tenho prazos impossíveis de cumprir.</w:t>
      </w:r>
    </w:p>
    <w:p>
      <w:pPr>
        <w:pStyle w:val="ListBullet"/>
      </w:pPr>
      <w:r>
        <w:t>Posso decidir quando fazer uma pausa.</w:t>
      </w:r>
    </w:p>
    <w:p>
      <w:pPr>
        <w:pStyle w:val="ListBullet"/>
      </w:pPr>
      <w:r>
        <w:t>Recebo apoio do meu gestor em situações emocionalmente difíceis.</w:t>
      </w:r>
    </w:p>
    <w:p>
      <w:pPr>
        <w:pStyle w:val="ListBullet"/>
      </w:pPr>
      <w:r>
        <w:t>Sou alvo de intimidação ou assédio no trabalho.</w:t>
      </w:r>
    </w:p>
    <w:p>
      <w:r>
        <w:rPr>
          <w:b/>
          <w:color w:val="0E2841"/>
        </w:rPr>
        <w:t xml:space="preserve">Vantagens: </w:t>
      </w:r>
      <w:r>
        <w:t>curto, fácil de explicar aos empregados e de transformar em plano de ação.</w:t>
      </w:r>
    </w:p>
    <w:p>
      <w:r>
        <w:rPr>
          <w:b/>
          <w:color w:val="0E2841"/>
        </w:rPr>
        <w:t xml:space="preserve">Limitações: </w:t>
      </w:r>
      <w:r>
        <w:t>não mede efeitos na saúde (esgotamento, sono) nem jornada e desconexão; costuma precisar de complemento.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site do HSE (hse.gov.uk, seção sobre estresse no trabalho), com o questionário e a planilha de apuração.</w:t>
      </w:r>
    </w:p>
    <w:p>
      <w:pPr>
        <w:pStyle w:val="Heading2"/>
      </w:pPr>
      <w:r>
        <w:t>JCQ (Job Content Questionnaire, modelo de Karasek)</w:t>
      </w:r>
    </w:p>
    <w:p>
      <w:r>
        <w:rPr>
          <w:i w:val="0"/>
        </w:rPr>
        <w:t>Baseado no modelo demanda-controle-apoio: o risco aumenta quando a demanda é alta e o controle sobre o trabalho é baixo, especialmente sem apoio social. No Brasil é comum a versão sueca resumida (DCSQ), com 17 perguntas.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Demanda psicológica</w:t>
      </w:r>
    </w:p>
    <w:p>
      <w:pPr>
        <w:pStyle w:val="ListBullet"/>
      </w:pPr>
      <w:r>
        <w:t>Controle (uso de habilidades e autonomia de decisão)</w:t>
      </w:r>
    </w:p>
    <w:p>
      <w:pPr>
        <w:pStyle w:val="ListBullet"/>
      </w:pPr>
      <w:r>
        <w:t>Apoio social de colegas e chefia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Seu trabalho exige que você trabalhe muito rápido?</w:t>
      </w:r>
    </w:p>
    <w:p>
      <w:pPr>
        <w:pStyle w:val="ListBullet"/>
      </w:pPr>
      <w:r>
        <w:t>Você pode escolher como fazer o seu trabalho?</w:t>
      </w:r>
    </w:p>
    <w:p>
      <w:pPr>
        <w:pStyle w:val="ListBullet"/>
      </w:pPr>
      <w:r>
        <w:t>Existe um ambiente calmo e agradável onde você trabalha?</w:t>
      </w:r>
    </w:p>
    <w:p>
      <w:r>
        <w:rPr>
          <w:b/>
          <w:color w:val="0E2841"/>
        </w:rPr>
        <w:t xml:space="preserve">Vantagens: </w:t>
      </w:r>
      <w:r>
        <w:t>modelo teórico consolidado, curto, bom para identificar grupos de alta exigência e pouca autonomia.</w:t>
      </w:r>
    </w:p>
    <w:p>
      <w:r>
        <w:rPr>
          <w:b/>
          <w:color w:val="0E2841"/>
        </w:rPr>
        <w:t xml:space="preserve">Limitações: </w:t>
      </w:r>
      <w:r>
        <w:t>não cobre assédio, reconhecimento, jornada nem mudanças organizacionais.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literatura científica de Karasek e Theorell; versão DCSQ validada em português.</w:t>
      </w:r>
    </w:p>
    <w:p>
      <w:pPr>
        <w:pStyle w:val="Heading2"/>
      </w:pPr>
      <w:r>
        <w:t>ERI (Effort-Reward Imbalance, modelo de Siegrist)</w:t>
      </w:r>
    </w:p>
    <w:p>
      <w:r>
        <w:rPr>
          <w:i w:val="0"/>
        </w:rPr>
        <w:t>Mede o desequilíbrio entre o esforço dedicado ao trabalho e as recompensas recebidas (reconhecimento, salário, estabilidade, perspectiva de crescimento), além do comprometimento excessivo.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Esforço</w:t>
      </w:r>
    </w:p>
    <w:p>
      <w:pPr>
        <w:pStyle w:val="ListBullet"/>
      </w:pPr>
      <w:r>
        <w:t>Recompensa: estima, segurança e perspectivas</w:t>
      </w:r>
    </w:p>
    <w:p>
      <w:pPr>
        <w:pStyle w:val="ListBullet"/>
      </w:pPr>
      <w:r>
        <w:t>Comprometimento excessivo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Tenho muita pressão de tempo por causa da carga de trabalho.</w:t>
      </w:r>
    </w:p>
    <w:p>
      <w:pPr>
        <w:pStyle w:val="ListBullet"/>
      </w:pPr>
      <w:r>
        <w:t>Recebo o reconhecimento que mereço dos meus superiores.</w:t>
      </w:r>
    </w:p>
    <w:p>
      <w:pPr>
        <w:pStyle w:val="ListBullet"/>
      </w:pPr>
      <w:r>
        <w:t>Quando chego em casa, consigo me desligar do trabalho com facilidade.</w:t>
      </w:r>
    </w:p>
    <w:p>
      <w:r>
        <w:rPr>
          <w:b/>
          <w:color w:val="0E2841"/>
        </w:rPr>
        <w:t xml:space="preserve">Vantagens: </w:t>
      </w:r>
      <w:r>
        <w:t>capta frustração com reconhecimento e dificuldade de desconectar, frequentes em escritórios de advocacia.</w:t>
      </w:r>
    </w:p>
    <w:p>
      <w:r>
        <w:rPr>
          <w:b/>
          <w:color w:val="0E2841"/>
        </w:rPr>
        <w:t xml:space="preserve">Limitações: </w:t>
      </w:r>
      <w:r>
        <w:t>sozinho não cobre o conjunto da NR-01; normalmente é usado junto com outro instrumento.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literatura de Johannes Siegrist; versão curta adaptada ao português.</w:t>
      </w:r>
    </w:p>
    <w:p>
      <w:pPr>
        <w:pStyle w:val="Heading2"/>
      </w:pPr>
      <w:r>
        <w:t>PROART (Protocolo de Avaliação dos Riscos Psicossociais no Trabalho)</w:t>
      </w:r>
    </w:p>
    <w:p>
      <w:r>
        <w:rPr>
          <w:i w:val="0"/>
        </w:rPr>
        <w:t>Instrumento brasileiro, desenvolvido na UnB, organizado em quatro escalas. Foi pensado para a realidade das organizações nacionais e liga a organização do trabalho aos efeitos na saúde.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Organização prescrita do trabalho</w:t>
      </w:r>
    </w:p>
    <w:p>
      <w:pPr>
        <w:pStyle w:val="ListBullet"/>
      </w:pPr>
      <w:r>
        <w:t>Estilos de gestão</w:t>
      </w:r>
    </w:p>
    <w:p>
      <w:pPr>
        <w:pStyle w:val="ListBullet"/>
      </w:pPr>
      <w:r>
        <w:t>Sofrimento patogênico no trabalho</w:t>
      </w:r>
    </w:p>
    <w:p>
      <w:pPr>
        <w:pStyle w:val="ListBullet"/>
      </w:pPr>
      <w:r>
        <w:t>Danos físicos e psicossociais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O ritmo de trabalho é adequado.</w:t>
      </w:r>
    </w:p>
    <w:p>
      <w:pPr>
        <w:pStyle w:val="ListBullet"/>
      </w:pPr>
      <w:r>
        <w:t>Os gestores se preocupam com o bem-estar dos trabalhadores.</w:t>
      </w:r>
    </w:p>
    <w:p>
      <w:pPr>
        <w:pStyle w:val="ListBullet"/>
      </w:pPr>
      <w:r>
        <w:t>Sinto-me desvalorizado no trabalho.</w:t>
      </w:r>
    </w:p>
    <w:p>
      <w:pPr>
        <w:pStyle w:val="ListBullet"/>
      </w:pPr>
      <w:r>
        <w:t>Tenho dores de cabeça ou alterações no sono.</w:t>
      </w:r>
    </w:p>
    <w:p>
      <w:r>
        <w:rPr>
          <w:b/>
          <w:color w:val="0E2841"/>
        </w:rPr>
        <w:t xml:space="preserve">Vantagens: </w:t>
      </w:r>
      <w:r>
        <w:t>nacional, com linguagem próxima da realidade brasileira, liga causas e efeitos.</w:t>
      </w:r>
    </w:p>
    <w:p>
      <w:r>
        <w:rPr>
          <w:b/>
          <w:color w:val="0E2841"/>
        </w:rPr>
        <w:t xml:space="preserve">Limitações: </w:t>
      </w:r>
      <w:r>
        <w:t>longo; a apuração exige atenção às diferentes escalas.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publicações do grupo de pesquisa da UnB que desenvolveu o protocolo.</w:t>
      </w:r>
    </w:p>
    <w:p>
      <w:pPr>
        <w:pStyle w:val="Heading2"/>
      </w:pPr>
      <w:r>
        <w:t>Guia do MTE sobre fatores de risco psicossociais</w:t>
      </w:r>
    </w:p>
    <w:p>
      <w:r>
        <w:rPr>
          <w:i w:val="0"/>
        </w:rPr>
        <w:t>O Ministério do Trabalho publicou guia com orientações para incluir os fatores psicossociais no GRO. O guia não define nem sugere metodologia específica: se a empresa usar questionário, ele deve ser adequado ao risco, ter fundamentação científica e garantir anonimato. A identificação e a avaliação são feitas na Avaliação Ergonômica Preliminar (AEP) da NR-17. A listagem exemplificativa de fatores do guia é:</w:t>
      </w:r>
    </w:p>
    <w:p>
      <w:pPr>
        <w:pStyle w:val="ListBullet"/>
      </w:pPr>
      <w:r>
        <w:t>Excesso de demandas no trabalho (sobrecarga)</w:t>
      </w:r>
    </w:p>
    <w:p>
      <w:pPr>
        <w:pStyle w:val="ListBullet"/>
      </w:pPr>
      <w:r>
        <w:t>Baixa demanda no trabalho (subcarga)</w:t>
      </w:r>
    </w:p>
    <w:p>
      <w:pPr>
        <w:pStyle w:val="ListBullet"/>
      </w:pPr>
      <w:r>
        <w:t>Baixo controle no trabalho / falta de autonomia</w:t>
      </w:r>
    </w:p>
    <w:p>
      <w:pPr>
        <w:pStyle w:val="ListBullet"/>
      </w:pPr>
      <w:r>
        <w:t>Falta de suporte / apoio no trabalho</w:t>
      </w:r>
    </w:p>
    <w:p>
      <w:pPr>
        <w:pStyle w:val="ListBullet"/>
      </w:pPr>
      <w:r>
        <w:t>Más relações no local de trabalho</w:t>
      </w:r>
    </w:p>
    <w:p>
      <w:pPr>
        <w:pStyle w:val="ListBullet"/>
      </w:pPr>
      <w:r>
        <w:t>Baixa clareza de papel / função</w:t>
      </w:r>
    </w:p>
    <w:p>
      <w:pPr>
        <w:pStyle w:val="ListBullet"/>
      </w:pPr>
      <w:r>
        <w:t>Baixas recompensas e reconhecimento</w:t>
      </w:r>
    </w:p>
    <w:p>
      <w:pPr>
        <w:pStyle w:val="ListBullet"/>
      </w:pPr>
      <w:r>
        <w:t>Baixa justiça organizacional</w:t>
      </w:r>
    </w:p>
    <w:p>
      <w:pPr>
        <w:pStyle w:val="ListBullet"/>
      </w:pPr>
      <w:r>
        <w:t>Má gestão de mudanças organizacionais</w:t>
      </w:r>
    </w:p>
    <w:p>
      <w:pPr>
        <w:pStyle w:val="ListBullet"/>
      </w:pPr>
      <w:r>
        <w:t>Assédio de qualquer natureza no trabalho</w:t>
      </w:r>
    </w:p>
    <w:p>
      <w:pPr>
        <w:pStyle w:val="ListBullet"/>
      </w:pPr>
      <w:r>
        <w:t>Eventos violentos ou traumáticos</w:t>
      </w:r>
    </w:p>
    <w:p>
      <w:pPr>
        <w:pStyle w:val="ListBullet"/>
      </w:pPr>
      <w:r>
        <w:t>Trabalho em condições de difícil comunicação</w:t>
      </w:r>
    </w:p>
    <w:p>
      <w:pPr>
        <w:pStyle w:val="ListBullet"/>
      </w:pPr>
      <w:r>
        <w:t>Trabalho remoto e isolado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publicação do MTE (gov.br) sobre fatores de riscos psicossociais relacionados ao trabalho. Conferir o título e a data da edição vigente.</w:t>
      </w:r>
    </w:p>
    <w:p>
      <w:pPr>
        <w:pStyle w:val="Heading1"/>
      </w:pPr>
      <w:r>
        <w:t>Por que a P&amp;C usa um questionário próprio</w:t>
      </w:r>
    </w:p>
    <w:p>
      <w:r>
        <w:rPr>
          <w:i w:val="0"/>
        </w:rPr>
        <w:t>O questionário da Peixoto &amp; Cury é organizado exatamente pelos 13 fatores do guia do MTE e usa a estrutura de instrumentos validados (HSE e COPSOQ). Pergunta sobre as condições e a organização do trabalho, e não sobre sintomas, como orienta o guia, para que o resultado alimente diretamente a AEP e o inventário de riscos do PGR.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A7D90"/>
        <w:sz w:val="15"/>
      </w:rPr>
      <w:t>Peixoto &amp; Cury Advogados · Uso interno · Riscos psicossociais (NR-01)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86737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6737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Verdana" w:hAnsi="Verdana" w:eastAsia="Verdana"/>
      <w:color w:val="33475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0E28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0E28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Verdana" w:hAnsi="Verdana" w:eastAsia="Verdana"/>
      <w:b/>
      <w:bCs/>
      <w:color w:val="009FD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