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BODOVANJE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MAXIMALNO JE PO DISCIPLINI MOGUĆE OSVOJITI 100 BODOVA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Praćka: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5 pokušaja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Pogodak vrijedi 20 bodova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Ukupno se može maksimalno osvojiti 100 bodova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Trap: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5 pokušaja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Pogodak vrijedi 20 bodova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Ukupno se može maksimalno osvojiti 100 bodova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Pikado: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5 bacanja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Pogodak vrijedi 0,3333... bodova (točno 100 ÷ 300, ne zaokruženo)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Ukupno se može maksimalno osvojiti 100 bodova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Zračna puška: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5 pokušaja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Pogodak vrijedi 2 boda</w:t>
      </w:r>
    </w:p>
    <w:p>
      <w:pPr>
        <w:ind w:left="1440" w:first-line="-144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Ukupno se može maksimalno osvojiti 100 bodova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NOVI NAČIN IZRAČUNA BODOVA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Bodovanje se izračunava automatski prema formuli:</w:t>
      </w:r>
    </w:p>
    <w:p>
      <w:pPr>
        <w:ind w:left="480" w:first-line="-480"/>
        <w:spacing w:after="320"/>
      </w:pPr>
      <w:r>
        <w:rPr>
          <w:rFonts w:ascii="Helvetica" w:hAnsi="Helvetica" w:cs="Helvetica"/>
          <w:sz w:val="32"/>
          <w:sz-cs w:val="32"/>
          <w:i/>
          <w:spacing w:val="0"/>
        </w:rPr>
        <w:t xml:space="preserve">osvojeni bodovi u disciplini × (100 ÷ maksimalno mogući bodovi u disciplini)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Maksimalno mogući bodovi za svaku disciplinu spremljeni su u sustavu (bazi podataka), a ne fiksno upisani u programskom kodu. To znači da svaka disciplina uvijek doprinosi točno do 100 bodova ukupnom rezultatu, bez zaokruživanja i bez ovisnosti o nazivu discipline. Ako se u budućnosti doda nova disciplina ili promijeni raspon bodovanja postojeće, sustav automatski uskladi bodovanje bez potrebe za ručnim ispravkama u kodu.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IZJEDNAČEN REZULTAT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Ako dvoje ili više natjecatelja (ili timova) u istoj kategoriji postignu identičan ukupan broj bodova, poredak među njima se određuje redom, disciplinom po disciplinom, od najvažnije (najteže) do najlakše, dok se ne pronađe razlika: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Muška kategorija:</w:t>
      </w:r>
      <w:r>
        <w:rPr>
          <w:rFonts w:ascii="Helvetica" w:hAnsi="Helvetica" w:cs="Helvetica"/>
          <w:sz w:val="32"/>
          <w:sz-cs w:val="32"/>
          <w:spacing w:val="0"/>
        </w:rPr>
        <w:t xml:space="preserve"> TRAP → PRAČKA → ZRAČNA PUŠKA.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Ženska kategorija:</w:t>
      </w:r>
      <w:r>
        <w:rPr>
          <w:rFonts w:ascii="Helvetica" w:hAnsi="Helvetica" w:cs="Helvetica"/>
          <w:sz w:val="32"/>
          <w:sz-cs w:val="32"/>
          <w:spacing w:val="0"/>
        </w:rPr>
        <w:t xml:space="preserve"> PRAČKA → ZRAČNA PUŠKA → PIKADO.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Postupak (isti za obje kategorije, samo s drugim redoslijedom disciplina):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Prvo se uspoređuje rezultat u prvoj (najtežoj) disciplini iz redoslijeda. Natjecatelj/tim s više bodova u njoj rangira se iznad ostalih s istim ukupnim rezultatom.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Ako je i ta disciplina identična, prelazi se na sljedeću disciplinu u redoslijedu, i tako dalje.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Samo ako su i sve tri discipline identične, poredak između te dvojice (ili više njih) ostaje proizvoljan — tada stvarno nema podatka koji bi ih razdvojio.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i/>
          <w:spacing w:val="0"/>
        </w:rPr>
        <w:t xml:space="preserve">Primjer (muška kategorija):</w:t>
      </w:r>
      <w:r>
        <w:rPr>
          <w:rFonts w:ascii="Helvetica" w:hAnsi="Helvetica" w:cs="Helvetica"/>
          <w:sz w:val="32"/>
          <w:sz-cs w:val="32"/>
          <w:spacing w:val="0"/>
        </w:rPr>
        <w:t xml:space="preserve"> dva natjecatelja imaju isti ukupan rezultat i isti broj bodova u TRAP-u. Umjesto da se odmah proglasi izjednačenje, poredak se rješava boljim rezultatom u PRAČKI. Samo ako bi i PRAČKA bila identična, ide se na ZRAČNU PUŠKU; a samo ako bi i ona bila identična, poredak ostaje proizvoljan.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Radi potpune transparentnosti, svaki izjednačen rezultat je posebno obilježen: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Na ekranu</w:t>
      </w:r>
      <w:r>
        <w:rPr>
          <w:rFonts w:ascii="Helvetica" w:hAnsi="Helvetica" w:cs="Helvetica"/>
          <w:sz w:val="32"/>
          <w:sz-cs w:val="32"/>
          <w:spacing w:val="0"/>
        </w:rPr>
        <w:t xml:space="preserve"> (pregled poretka) — pored ranga natjecatelja/tima prikazuje se ikona koja na dodir/hover otkriva objašnjenje: s kime je natjecatelj izjednačen i zašto je ispred ili iza njega.</w:t>
      </w:r>
    </w:p>
    <w:p>
      <w:pPr>
        <w:ind w:left="720" w:first-line="-72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U PDF izvozu</w:t>
      </w:r>
      <w:r>
        <w:rPr>
          <w:rFonts w:ascii="Helvetica" w:hAnsi="Helvetica" w:cs="Helvetica"/>
          <w:sz w:val="32"/>
          <w:sz-cs w:val="32"/>
          <w:spacing w:val="0"/>
        </w:rPr>
        <w:t xml:space="preserve"> — na kraju izvještaja, na zasebnoj stranici, ispisuju se sve napomene o izjednačenim rezultatima s objašnjenjem za svakog pogođenog natjecatelja odnosno tim.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